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5516171"/>
        <w:docPartObj>
          <w:docPartGallery w:val="Cover Pages"/>
          <w:docPartUnique/>
        </w:docPartObj>
      </w:sdtPr>
      <w:sdtEndPr>
        <w:rPr>
          <w:sz w:val="21"/>
          <w:szCs w:val="21"/>
        </w:rPr>
      </w:sdtEndPr>
      <w:sdtContent>
        <w:p w:rsidR="005959E0" w:rsidRDefault="005959E0">
          <w:r>
            <w:t>.</w:t>
          </w:r>
        </w:p>
        <w:p w:rsidR="005959E0" w:rsidRDefault="00024248">
          <w:r>
            <w:rPr>
              <w:noProof/>
              <w:lang w:eastAsia="es-PR"/>
            </w:rPr>
            <mc:AlternateContent>
              <mc:Choice Requires="wps">
                <w:drawing>
                  <wp:anchor distT="0" distB="0" distL="114300" distR="114300" simplePos="0" relativeHeight="251663871" behindDoc="1" locked="0" layoutInCell="1" allowOverlap="1" wp14:anchorId="646BA3AE" wp14:editId="10733151">
                    <wp:simplePos x="0" y="0"/>
                    <wp:positionH relativeFrom="margin">
                      <wp:posOffset>-297180</wp:posOffset>
                    </wp:positionH>
                    <wp:positionV relativeFrom="margin">
                      <wp:posOffset>572770</wp:posOffset>
                    </wp:positionV>
                    <wp:extent cx="6537960" cy="4093210"/>
                    <wp:effectExtent l="0" t="0" r="0" b="254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409321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56"/>
                                    <w:szCs w:val="56"/>
                                    <w:lang w:val="es-PR"/>
                                  </w:rPr>
                                  <w:alias w:val="Title"/>
                                  <w:id w:val="-1726599418"/>
                                  <w:dataBinding w:prefixMappings="xmlns:ns0='http://schemas.openxmlformats.org/package/2006/metadata/core-properties' xmlns:ns1='http://purl.org/dc/elements/1.1/'" w:xpath="/ns0:coreProperties[1]/ns1:title[1]" w:storeItemID="{6C3C8BC8-F283-45AE-878A-BAB7291924A1}"/>
                                  <w:text/>
                                </w:sdtPr>
                                <w:sdtContent>
                                  <w:p w:rsidR="005B30E3" w:rsidRPr="005959E0" w:rsidRDefault="005B30E3">
                                    <w:pPr>
                                      <w:pStyle w:val="NoSpacing"/>
                                      <w:rPr>
                                        <w:rFonts w:asciiTheme="majorHAnsi" w:eastAsiaTheme="majorEastAsia" w:hAnsiTheme="majorHAnsi" w:cstheme="majorBidi"/>
                                        <w:color w:val="FFFFFF" w:themeColor="background1"/>
                                        <w:sz w:val="84"/>
                                        <w:szCs w:val="72"/>
                                        <w:lang w:val="es-PR"/>
                                      </w:rPr>
                                    </w:pPr>
                                    <w:r w:rsidRPr="005959E0">
                                      <w:rPr>
                                        <w:rFonts w:asciiTheme="majorHAnsi" w:eastAsiaTheme="majorEastAsia" w:hAnsiTheme="majorHAnsi" w:cstheme="majorBidi"/>
                                        <w:color w:val="FFFFFF" w:themeColor="background1"/>
                                        <w:sz w:val="56"/>
                                        <w:szCs w:val="56"/>
                                        <w:lang w:val="es-PR"/>
                                      </w:rPr>
                                      <w:t>Ponencia para el Proceso de Transición</w:t>
                                    </w:r>
                                    <w:r w:rsidR="008F79C1">
                                      <w:rPr>
                                        <w:rFonts w:asciiTheme="majorHAnsi" w:eastAsiaTheme="majorEastAsia" w:hAnsiTheme="majorHAnsi" w:cstheme="majorBidi"/>
                                        <w:color w:val="FFFFFF" w:themeColor="background1"/>
                                        <w:sz w:val="56"/>
                                        <w:szCs w:val="56"/>
                                        <w:lang w:val="es-PR"/>
                                      </w:rPr>
                                      <w:t xml:space="preserve"> 2016-2017</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23.4pt;margin-top:45.1pt;width:514.8pt;height:322.3pt;z-index:-251652609;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MAlg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56"/>
                              <w:szCs w:val="56"/>
                              <w:lang w:val="es-PR"/>
                            </w:rPr>
                            <w:alias w:val="Title"/>
                            <w:id w:val="-1726599418"/>
                            <w:dataBinding w:prefixMappings="xmlns:ns0='http://schemas.openxmlformats.org/package/2006/metadata/core-properties' xmlns:ns1='http://purl.org/dc/elements/1.1/'" w:xpath="/ns0:coreProperties[1]/ns1:title[1]" w:storeItemID="{6C3C8BC8-F283-45AE-878A-BAB7291924A1}"/>
                            <w:text/>
                          </w:sdtPr>
                          <w:sdtContent>
                            <w:p w:rsidR="005B30E3" w:rsidRPr="005959E0" w:rsidRDefault="005B30E3">
                              <w:pPr>
                                <w:pStyle w:val="NoSpacing"/>
                                <w:rPr>
                                  <w:rFonts w:asciiTheme="majorHAnsi" w:eastAsiaTheme="majorEastAsia" w:hAnsiTheme="majorHAnsi" w:cstheme="majorBidi"/>
                                  <w:color w:val="FFFFFF" w:themeColor="background1"/>
                                  <w:sz w:val="84"/>
                                  <w:szCs w:val="72"/>
                                  <w:lang w:val="es-PR"/>
                                </w:rPr>
                              </w:pPr>
                              <w:r w:rsidRPr="005959E0">
                                <w:rPr>
                                  <w:rFonts w:asciiTheme="majorHAnsi" w:eastAsiaTheme="majorEastAsia" w:hAnsiTheme="majorHAnsi" w:cstheme="majorBidi"/>
                                  <w:color w:val="FFFFFF" w:themeColor="background1"/>
                                  <w:sz w:val="56"/>
                                  <w:szCs w:val="56"/>
                                  <w:lang w:val="es-PR"/>
                                </w:rPr>
                                <w:t>Ponencia para el Proceso de Transición</w:t>
                              </w:r>
                              <w:r w:rsidR="008F79C1">
                                <w:rPr>
                                  <w:rFonts w:asciiTheme="majorHAnsi" w:eastAsiaTheme="majorEastAsia" w:hAnsiTheme="majorHAnsi" w:cstheme="majorBidi"/>
                                  <w:color w:val="FFFFFF" w:themeColor="background1"/>
                                  <w:sz w:val="56"/>
                                  <w:szCs w:val="56"/>
                                  <w:lang w:val="es-PR"/>
                                </w:rPr>
                                <w:t xml:space="preserve"> 2016-2017</w:t>
                              </w:r>
                            </w:p>
                          </w:sdtContent>
                        </w:sdt>
                      </w:txbxContent>
                    </v:textbox>
                    <w10:wrap anchorx="margin" anchory="margin"/>
                  </v:rect>
                </w:pict>
              </mc:Fallback>
            </mc:AlternateContent>
          </w:r>
        </w:p>
        <w:p w:rsidR="005959E0" w:rsidRDefault="005959E0"/>
        <w:p w:rsidR="005959E0" w:rsidRDefault="005959E0" w:rsidP="00024248">
          <w:pPr>
            <w:jc w:val="center"/>
          </w:pPr>
        </w:p>
        <w:p w:rsidR="005959E0" w:rsidRDefault="00C079C4">
          <w:pPr>
            <w:rPr>
              <w:sz w:val="21"/>
              <w:szCs w:val="21"/>
            </w:rPr>
          </w:pPr>
          <w:r>
            <w:rPr>
              <w:noProof/>
              <w:lang w:eastAsia="es-PR"/>
            </w:rPr>
            <mc:AlternateContent>
              <mc:Choice Requires="wps">
                <w:drawing>
                  <wp:anchor distT="0" distB="0" distL="114300" distR="114300" simplePos="0" relativeHeight="251664384" behindDoc="0" locked="0" layoutInCell="1" allowOverlap="1" wp14:anchorId="37118BBF" wp14:editId="372AE0A0">
                    <wp:simplePos x="0" y="0"/>
                    <wp:positionH relativeFrom="margin">
                      <wp:posOffset>2633980</wp:posOffset>
                    </wp:positionH>
                    <wp:positionV relativeFrom="margin">
                      <wp:posOffset>5053273</wp:posOffset>
                    </wp:positionV>
                    <wp:extent cx="3596005" cy="286575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286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lang w:val="es-HN"/>
                                  </w:rPr>
                                  <w:alias w:val="Author"/>
                                  <w:id w:val="2127731212"/>
                                  <w:dataBinding w:prefixMappings="xmlns:ns0='http://schemas.openxmlformats.org/package/2006/metadata/core-properties' xmlns:ns1='http://purl.org/dc/elements/1.1/'" w:xpath="/ns0:coreProperties[1]/ns1:creator[1]" w:storeItemID="{6C3C8BC8-F283-45AE-878A-BAB7291924A1}"/>
                                  <w:text/>
                                </w:sdtPr>
                                <w:sdtContent>
                                  <w:p w:rsidR="005B30E3" w:rsidRPr="005959E0" w:rsidRDefault="005B30E3">
                                    <w:pPr>
                                      <w:suppressOverlap/>
                                      <w:rPr>
                                        <w:rFonts w:asciiTheme="majorHAnsi" w:eastAsiaTheme="majorEastAsia" w:hAnsiTheme="majorHAnsi" w:cstheme="majorBidi"/>
                                        <w:color w:val="1F497D" w:themeColor="text2"/>
                                        <w:sz w:val="40"/>
                                        <w:szCs w:val="40"/>
                                        <w:lang w:val="en-US"/>
                                      </w:rPr>
                                    </w:pPr>
                                    <w:r w:rsidRPr="00624A1F">
                                      <w:rPr>
                                        <w:rFonts w:asciiTheme="majorHAnsi" w:eastAsiaTheme="majorEastAsia" w:hAnsiTheme="majorHAnsi" w:cstheme="majorBidi"/>
                                        <w:color w:val="1F497D" w:themeColor="text2"/>
                                        <w:sz w:val="40"/>
                                        <w:szCs w:val="40"/>
                                        <w:lang w:val="es-HN"/>
                                      </w:rPr>
                                      <w:t>Administración de Servicios Médicos</w:t>
                                    </w:r>
                                  </w:p>
                                </w:sdtContent>
                              </w:sdt>
                              <w:sdt>
                                <w:sdtPr>
                                  <w:rPr>
                                    <w:color w:val="1F497D" w:themeColor="text2"/>
                                  </w:rPr>
                                  <w:alias w:val="Abstract"/>
                                  <w:id w:val="273984276"/>
                                  <w:dataBinding w:prefixMappings="xmlns:ns0='http://schemas.microsoft.com/office/2006/coverPageProps'" w:xpath="/ns0:CoverPageProperties[1]/ns0:Abstract[1]" w:storeItemID="{55AF091B-3C7A-41E3-B477-F2FDAA23CFDA}"/>
                                  <w:text/>
                                </w:sdtPr>
                                <w:sdtContent>
                                  <w:p w:rsidR="005B30E3" w:rsidRPr="005959E0" w:rsidRDefault="005B30E3">
                                    <w:pPr>
                                      <w:suppressOverlap/>
                                      <w:rPr>
                                        <w:color w:val="1F497D" w:themeColor="text2"/>
                                      </w:rPr>
                                    </w:pPr>
                                    <w:r>
                                      <w:rPr>
                                        <w:color w:val="1F497D" w:themeColor="text2"/>
                                      </w:rPr>
                                      <w:t xml:space="preserve">Síntesis de los componentes del informe y un contexto breve de la evolución histórica de la organización y estatus actual con énfasis a los aspectos financieros  </w:t>
                                    </w:r>
                                  </w:p>
                                </w:sdtContent>
                              </w:sdt>
                              <w:p w:rsidR="005B30E3" w:rsidRPr="005959E0" w:rsidRDefault="005B30E3"/>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7" type="#_x0000_t202" style="position:absolute;margin-left:207.4pt;margin-top:397.9pt;width:283.15pt;height:225.65pt;z-index:251664384;visibility:visible;mso-wrap-style:square;mso-width-percent:605;mso-height-percent:0;mso-wrap-distance-left:9pt;mso-wrap-distance-top:0;mso-wrap-distance-right:9pt;mso-wrap-distance-bottom:0;mso-position-horizontal:absolute;mso-position-horizontal-relative:margin;mso-position-vertical:absolute;mso-position-vertical-relative:margin;mso-width-percent:60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" filled="f" stroked="f" strokeweight=".5pt">
                    <v:textbox inset=",14.4pt,,7.2pt">
                      <w:txbxContent>
                        <w:sdt>
                          <w:sdtPr>
                            <w:rPr>
                              <w:rFonts w:asciiTheme="majorHAnsi" w:eastAsiaTheme="majorEastAsia" w:hAnsiTheme="majorHAnsi" w:cstheme="majorBidi"/>
                              <w:color w:val="1F497D" w:themeColor="text2"/>
                              <w:sz w:val="40"/>
                              <w:szCs w:val="40"/>
                              <w:lang w:val="es-HN"/>
                            </w:rPr>
                            <w:alias w:val="Author"/>
                            <w:id w:val="2127731212"/>
                            <w:dataBinding w:prefixMappings="xmlns:ns0='http://schemas.openxmlformats.org/package/2006/metadata/core-properties' xmlns:ns1='http://purl.org/dc/elements/1.1/'" w:xpath="/ns0:coreProperties[1]/ns1:creator[1]" w:storeItemID="{6C3C8BC8-F283-45AE-878A-BAB7291924A1}"/>
                            <w:text/>
                          </w:sdtPr>
                          <w:sdtContent>
                            <w:p w:rsidR="005B30E3" w:rsidRPr="005959E0" w:rsidRDefault="005B30E3">
                              <w:pPr>
                                <w:suppressOverlap/>
                                <w:rPr>
                                  <w:rFonts w:asciiTheme="majorHAnsi" w:eastAsiaTheme="majorEastAsia" w:hAnsiTheme="majorHAnsi" w:cstheme="majorBidi"/>
                                  <w:color w:val="1F497D" w:themeColor="text2"/>
                                  <w:sz w:val="40"/>
                                  <w:szCs w:val="40"/>
                                  <w:lang w:val="en-US"/>
                                </w:rPr>
                              </w:pPr>
                              <w:r w:rsidRPr="00624A1F">
                                <w:rPr>
                                  <w:rFonts w:asciiTheme="majorHAnsi" w:eastAsiaTheme="majorEastAsia" w:hAnsiTheme="majorHAnsi" w:cstheme="majorBidi"/>
                                  <w:color w:val="1F497D" w:themeColor="text2"/>
                                  <w:sz w:val="40"/>
                                  <w:szCs w:val="40"/>
                                  <w:lang w:val="es-HN"/>
                                </w:rPr>
                                <w:t>Administración de Servicios Médicos</w:t>
                              </w:r>
                            </w:p>
                          </w:sdtContent>
                        </w:sdt>
                        <w:sdt>
                          <w:sdtPr>
                            <w:rPr>
                              <w:color w:val="1F497D" w:themeColor="text2"/>
                            </w:rPr>
                            <w:alias w:val="Abstract"/>
                            <w:id w:val="273984276"/>
                            <w:dataBinding w:prefixMappings="xmlns:ns0='http://schemas.microsoft.com/office/2006/coverPageProps'" w:xpath="/ns0:CoverPageProperties[1]/ns0:Abstract[1]" w:storeItemID="{55AF091B-3C7A-41E3-B477-F2FDAA23CFDA}"/>
                            <w:text/>
                          </w:sdtPr>
                          <w:sdtContent>
                            <w:p w:rsidR="005B30E3" w:rsidRPr="005959E0" w:rsidRDefault="005B30E3">
                              <w:pPr>
                                <w:suppressOverlap/>
                                <w:rPr>
                                  <w:color w:val="1F497D" w:themeColor="text2"/>
                                </w:rPr>
                              </w:pPr>
                              <w:r>
                                <w:rPr>
                                  <w:color w:val="1F497D" w:themeColor="text2"/>
                                </w:rPr>
                                <w:t xml:space="preserve">Síntesis de los componentes del informe y un contexto breve de la evolución histórica de la organización y estatus actual con énfasis a los aspectos financieros  </w:t>
                              </w:r>
                            </w:p>
                          </w:sdtContent>
                        </w:sdt>
                        <w:p w:rsidR="005B30E3" w:rsidRPr="005959E0" w:rsidRDefault="005B30E3"/>
                      </w:txbxContent>
                    </v:textbox>
                    <w10:wrap anchorx="margin" anchory="margin"/>
                  </v:shape>
                </w:pict>
              </mc:Fallback>
            </mc:AlternateContent>
          </w:r>
          <w:r w:rsidR="00024248">
            <w:rPr>
              <w:noProof/>
              <w:lang w:eastAsia="es-PR"/>
            </w:rPr>
            <mc:AlternateContent>
              <mc:Choice Requires="wps">
                <w:drawing>
                  <wp:anchor distT="0" distB="0" distL="114300" distR="114300" simplePos="0" relativeHeight="251663360" behindDoc="0" locked="0" layoutInCell="1" allowOverlap="1" wp14:anchorId="2E37A181" wp14:editId="273BAABB">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791460"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791829"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562136393"/>
                                  <w:dataBinding w:prefixMappings="xmlns:ns0='http://schemas.openxmlformats.org/officeDocument/2006/extended-properties'" w:xpath="/ns0:Properties[1]/ns0:Company[1]" w:storeItemID="{6668398D-A668-4E3E-A5EB-62B293D839F1}"/>
                                  <w:text/>
                                </w:sdtPr>
                                <w:sdtContent>
                                  <w:p w:rsidR="005B30E3" w:rsidRPr="005D7AF1" w:rsidRDefault="005B30E3">
                                    <w:pPr>
                                      <w:suppressOverlap/>
                                      <w:jc w:val="right"/>
                                      <w:rPr>
                                        <w:b/>
                                        <w:bCs/>
                                        <w:color w:val="1F497D" w:themeColor="text2"/>
                                        <w:spacing w:val="60"/>
                                        <w:sz w:val="20"/>
                                        <w:szCs w:val="20"/>
                                      </w:rPr>
                                    </w:pPr>
                                    <w:r>
                                      <w:rPr>
                                        <w:b/>
                                        <w:bCs/>
                                        <w:color w:val="1F497D" w:themeColor="text2"/>
                                        <w:spacing w:val="60"/>
                                        <w:sz w:val="20"/>
                                        <w:szCs w:val="20"/>
                                      </w:rPr>
                                      <w:t>ASEM</w:t>
                                    </w:r>
                                  </w:p>
                                </w:sdtContent>
                              </w:sdt>
                              <w:sdt>
                                <w:sdtPr>
                                  <w:rPr>
                                    <w:b/>
                                    <w:bCs/>
                                    <w:color w:val="1F497D" w:themeColor="text2"/>
                                    <w:spacing w:val="60"/>
                                    <w:sz w:val="20"/>
                                    <w:szCs w:val="20"/>
                                  </w:rPr>
                                  <w:alias w:val="Address"/>
                                  <w:id w:val="-272322185"/>
                                  <w:dataBinding w:prefixMappings="xmlns:ns0='http://schemas.microsoft.com/office/2006/coverPageProps'" w:xpath="/ns0:CoverPageProperties[1]/ns0:CompanyAddress[1]" w:storeItemID="{55AF091B-3C7A-41E3-B477-F2FDAA23CFDA}"/>
                                  <w:text w:multiLine="1"/>
                                </w:sdtPr>
                                <w:sdtContent>
                                  <w:p w:rsidR="005B30E3" w:rsidRPr="005D7AF1" w:rsidRDefault="005B30E3">
                                    <w:pPr>
                                      <w:suppressOverlap/>
                                      <w:jc w:val="right"/>
                                      <w:rPr>
                                        <w:b/>
                                        <w:bCs/>
                                        <w:color w:val="1F497D" w:themeColor="text2"/>
                                        <w:spacing w:val="60"/>
                                        <w:sz w:val="20"/>
                                        <w:szCs w:val="20"/>
                                      </w:rPr>
                                    </w:pPr>
                                    <w:r>
                                      <w:rPr>
                                        <w:b/>
                                        <w:bCs/>
                                        <w:color w:val="1F497D" w:themeColor="text2"/>
                                        <w:spacing w:val="60"/>
                                        <w:sz w:val="20"/>
                                        <w:szCs w:val="20"/>
                                      </w:rPr>
                                      <w:t>Centro Medico de Puerto Rico</w:t>
                                    </w:r>
                                  </w:p>
                                </w:sdtContent>
                              </w:sdt>
                              <w:p w:rsidR="005B30E3" w:rsidRPr="005959E0" w:rsidRDefault="005B30E3">
                                <w:pPr>
                                  <w:suppressOverlap/>
                                  <w:jc w:val="right"/>
                                  <w:rPr>
                                    <w:b/>
                                    <w:bCs/>
                                    <w:color w:val="1F497D" w:themeColor="text2"/>
                                    <w:spacing w:val="60"/>
                                    <w:sz w:val="20"/>
                                    <w:szCs w:val="20"/>
                                    <w:lang w:val="en-US"/>
                                  </w:rPr>
                                </w:pPr>
                              </w:p>
                              <w:sdt>
                                <w:sdtPr>
                                  <w:rPr>
                                    <w:b/>
                                    <w:bCs/>
                                    <w:color w:val="1F497D" w:themeColor="text2"/>
                                    <w:spacing w:val="60"/>
                                    <w:sz w:val="20"/>
                                    <w:szCs w:val="20"/>
                                  </w:rPr>
                                  <w:alias w:val="Date"/>
                                  <w:id w:val="2136220082"/>
                                  <w:dataBinding w:prefixMappings="xmlns:ns0='http://schemas.microsoft.com/office/2006/coverPageProps'" w:xpath="/ns0:CoverPageProperties[1]/ns0:PublishDate[1]" w:storeItemID="{55AF091B-3C7A-41E3-B477-F2FDAA23CFDA}"/>
                                  <w:date w:fullDate="2016-10-03T00:00:00Z">
                                    <w:dateFormat w:val="M/d/yyyy"/>
                                    <w:lid w:val="en-US"/>
                                    <w:storeMappedDataAs w:val="dateTime"/>
                                    <w:calendar w:val="gregorian"/>
                                  </w:date>
                                </w:sdtPr>
                                <w:sdtContent>
                                  <w:p w:rsidR="005B30E3" w:rsidRDefault="005B30E3">
                                    <w:pPr>
                                      <w:suppressOverlap/>
                                      <w:jc w:val="right"/>
                                      <w:rPr>
                                        <w:b/>
                                        <w:bCs/>
                                        <w:color w:val="1F497D" w:themeColor="text2"/>
                                        <w:spacing w:val="60"/>
                                        <w:sz w:val="20"/>
                                        <w:szCs w:val="20"/>
                                      </w:rPr>
                                    </w:pPr>
                                    <w:r>
                                      <w:rPr>
                                        <w:b/>
                                        <w:bCs/>
                                        <w:color w:val="1F497D" w:themeColor="text2"/>
                                        <w:spacing w:val="60"/>
                                        <w:sz w:val="20"/>
                                        <w:szCs w:val="20"/>
                                        <w:lang w:val="en-US"/>
                                      </w:rPr>
                                      <w:t>10/3/2016</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 id="Text Box 386" o:spid="_x0000_s1028" type="#_x0000_t202" style="position:absolute;margin-left:0;margin-top:0;width:219.8pt;height:291.6pt;z-index:251663360;visibility:visible;mso-wrap-style:square;mso-width-percent:0;mso-height-percent:450;mso-left-percent:-50;mso-top-percent:590;mso-wrap-distance-left:9pt;mso-wrap-distance-top:0;mso-wrap-distance-right:9pt;mso-wrap-distance-bottom:0;mso-position-horizontal-relative:margin;mso-position-vertical-relative:margin;mso-width-percent:0;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" filled="f" stroked="f" strokeweight=".5pt">
                    <v:textbox inset=",7.2pt,,7.2pt">
                      <w:txbxContent>
                        <w:sdt>
                          <w:sdtPr>
                            <w:rPr>
                              <w:b/>
                              <w:bCs/>
                              <w:color w:val="1F497D" w:themeColor="text2"/>
                              <w:spacing w:val="60"/>
                              <w:sz w:val="20"/>
                              <w:szCs w:val="20"/>
                            </w:rPr>
                            <w:alias w:val="Company"/>
                            <w:id w:val="1562136393"/>
                            <w:dataBinding w:prefixMappings="xmlns:ns0='http://schemas.openxmlformats.org/officeDocument/2006/extended-properties'" w:xpath="/ns0:Properties[1]/ns0:Company[1]" w:storeItemID="{6668398D-A668-4E3E-A5EB-62B293D839F1}"/>
                            <w:text/>
                          </w:sdtPr>
                          <w:sdtContent>
                            <w:p w:rsidR="005B30E3" w:rsidRPr="005D7AF1" w:rsidRDefault="005B30E3">
                              <w:pPr>
                                <w:suppressOverlap/>
                                <w:jc w:val="right"/>
                                <w:rPr>
                                  <w:b/>
                                  <w:bCs/>
                                  <w:color w:val="1F497D" w:themeColor="text2"/>
                                  <w:spacing w:val="60"/>
                                  <w:sz w:val="20"/>
                                  <w:szCs w:val="20"/>
                                </w:rPr>
                              </w:pPr>
                              <w:r>
                                <w:rPr>
                                  <w:b/>
                                  <w:bCs/>
                                  <w:color w:val="1F497D" w:themeColor="text2"/>
                                  <w:spacing w:val="60"/>
                                  <w:sz w:val="20"/>
                                  <w:szCs w:val="20"/>
                                </w:rPr>
                                <w:t>ASEM</w:t>
                              </w:r>
                            </w:p>
                          </w:sdtContent>
                        </w:sdt>
                        <w:sdt>
                          <w:sdtPr>
                            <w:rPr>
                              <w:b/>
                              <w:bCs/>
                              <w:color w:val="1F497D" w:themeColor="text2"/>
                              <w:spacing w:val="60"/>
                              <w:sz w:val="20"/>
                              <w:szCs w:val="20"/>
                            </w:rPr>
                            <w:alias w:val="Address"/>
                            <w:id w:val="-272322185"/>
                            <w:dataBinding w:prefixMappings="xmlns:ns0='http://schemas.microsoft.com/office/2006/coverPageProps'" w:xpath="/ns0:CoverPageProperties[1]/ns0:CompanyAddress[1]" w:storeItemID="{55AF091B-3C7A-41E3-B477-F2FDAA23CFDA}"/>
                            <w:text w:multiLine="1"/>
                          </w:sdtPr>
                          <w:sdtContent>
                            <w:p w:rsidR="005B30E3" w:rsidRPr="005D7AF1" w:rsidRDefault="005B30E3">
                              <w:pPr>
                                <w:suppressOverlap/>
                                <w:jc w:val="right"/>
                                <w:rPr>
                                  <w:b/>
                                  <w:bCs/>
                                  <w:color w:val="1F497D" w:themeColor="text2"/>
                                  <w:spacing w:val="60"/>
                                  <w:sz w:val="20"/>
                                  <w:szCs w:val="20"/>
                                </w:rPr>
                              </w:pPr>
                              <w:r>
                                <w:rPr>
                                  <w:b/>
                                  <w:bCs/>
                                  <w:color w:val="1F497D" w:themeColor="text2"/>
                                  <w:spacing w:val="60"/>
                                  <w:sz w:val="20"/>
                                  <w:szCs w:val="20"/>
                                </w:rPr>
                                <w:t>Centro Medico de Puerto Rico</w:t>
                              </w:r>
                            </w:p>
                          </w:sdtContent>
                        </w:sdt>
                        <w:p w:rsidR="005B30E3" w:rsidRPr="005959E0" w:rsidRDefault="005B30E3">
                          <w:pPr>
                            <w:suppressOverlap/>
                            <w:jc w:val="right"/>
                            <w:rPr>
                              <w:b/>
                              <w:bCs/>
                              <w:color w:val="1F497D" w:themeColor="text2"/>
                              <w:spacing w:val="60"/>
                              <w:sz w:val="20"/>
                              <w:szCs w:val="20"/>
                              <w:lang w:val="en-US"/>
                            </w:rPr>
                          </w:pPr>
                        </w:p>
                        <w:sdt>
                          <w:sdtPr>
                            <w:rPr>
                              <w:b/>
                              <w:bCs/>
                              <w:color w:val="1F497D" w:themeColor="text2"/>
                              <w:spacing w:val="60"/>
                              <w:sz w:val="20"/>
                              <w:szCs w:val="20"/>
                            </w:rPr>
                            <w:alias w:val="Date"/>
                            <w:id w:val="2136220082"/>
                            <w:dataBinding w:prefixMappings="xmlns:ns0='http://schemas.microsoft.com/office/2006/coverPageProps'" w:xpath="/ns0:CoverPageProperties[1]/ns0:PublishDate[1]" w:storeItemID="{55AF091B-3C7A-41E3-B477-F2FDAA23CFDA}"/>
                            <w:date w:fullDate="2016-10-03T00:00:00Z">
                              <w:dateFormat w:val="M/d/yyyy"/>
                              <w:lid w:val="en-US"/>
                              <w:storeMappedDataAs w:val="dateTime"/>
                              <w:calendar w:val="gregorian"/>
                            </w:date>
                          </w:sdtPr>
                          <w:sdtContent>
                            <w:p w:rsidR="005B30E3" w:rsidRDefault="005B30E3">
                              <w:pPr>
                                <w:suppressOverlap/>
                                <w:jc w:val="right"/>
                                <w:rPr>
                                  <w:b/>
                                  <w:bCs/>
                                  <w:color w:val="1F497D" w:themeColor="text2"/>
                                  <w:spacing w:val="60"/>
                                  <w:sz w:val="20"/>
                                  <w:szCs w:val="20"/>
                                </w:rPr>
                              </w:pPr>
                              <w:r>
                                <w:rPr>
                                  <w:b/>
                                  <w:bCs/>
                                  <w:color w:val="1F497D" w:themeColor="text2"/>
                                  <w:spacing w:val="60"/>
                                  <w:sz w:val="20"/>
                                  <w:szCs w:val="20"/>
                                  <w:lang w:val="en-US"/>
                                </w:rPr>
                                <w:t>10/3/2016</w:t>
                              </w:r>
                            </w:p>
                          </w:sdtContent>
                        </w:sdt>
                      </w:txbxContent>
                    </v:textbox>
                    <w10:wrap anchorx="margin" anchory="margin"/>
                  </v:shape>
                </w:pict>
              </mc:Fallback>
            </mc:AlternateContent>
          </w:r>
          <w:r w:rsidR="005959E0">
            <w:rPr>
              <w:noProof/>
              <w:lang w:eastAsia="es-PR"/>
            </w:rPr>
            <mc:AlternateContent>
              <mc:Choice Requires="wps">
                <w:drawing>
                  <wp:anchor distT="0" distB="0" distL="114300" distR="114300" simplePos="0" relativeHeight="251660288" behindDoc="1" locked="0" layoutInCell="1" allowOverlap="1" wp14:anchorId="02F8237C" wp14:editId="0475F8DC">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5959E0">
            <w:rPr>
              <w:sz w:val="21"/>
              <w:szCs w:val="21"/>
            </w:rPr>
            <w:br w:type="page"/>
          </w:r>
        </w:p>
      </w:sdtContent>
    </w:sdt>
    <w:p w:rsidR="00BD2878" w:rsidRPr="005959E0" w:rsidRDefault="00BD2878" w:rsidP="00BD2878">
      <w:pPr>
        <w:pStyle w:val="Heading1"/>
        <w:spacing w:line="360" w:lineRule="auto"/>
        <w:rPr>
          <w:sz w:val="24"/>
          <w:szCs w:val="24"/>
        </w:rPr>
      </w:pPr>
      <w:bookmarkStart w:id="0" w:name="_Toc463269788"/>
      <w:r w:rsidRPr="005959E0">
        <w:rPr>
          <w:sz w:val="24"/>
          <w:szCs w:val="24"/>
        </w:rPr>
        <w:lastRenderedPageBreak/>
        <w:t>Introducción</w:t>
      </w:r>
      <w:bookmarkEnd w:id="0"/>
    </w:p>
    <w:p w:rsidR="00507431" w:rsidRDefault="00BD2878" w:rsidP="00BD2878">
      <w:pPr>
        <w:spacing w:line="240" w:lineRule="auto"/>
        <w:jc w:val="both"/>
        <w:rPr>
          <w:sz w:val="21"/>
          <w:szCs w:val="21"/>
        </w:rPr>
      </w:pPr>
      <w:r>
        <w:rPr>
          <w:sz w:val="21"/>
          <w:szCs w:val="21"/>
        </w:rPr>
        <w:t>En este segmento introductorio presentamos un resumen de los componentes del Informe de Transición así como un breve contexto de la evolución  histórica de la organización como marco de referencia de las causas y consecuencias de la situación económica. Esto con el objetivo de facilitar</w:t>
      </w:r>
      <w:r w:rsidR="00C079C4">
        <w:rPr>
          <w:sz w:val="21"/>
          <w:szCs w:val="21"/>
        </w:rPr>
        <w:t xml:space="preserve"> la evaluación</w:t>
      </w:r>
      <w:r>
        <w:rPr>
          <w:sz w:val="21"/>
          <w:szCs w:val="21"/>
        </w:rPr>
        <w:t xml:space="preserve"> de diversos </w:t>
      </w:r>
      <w:r w:rsidR="005A3499">
        <w:rPr>
          <w:sz w:val="21"/>
          <w:szCs w:val="21"/>
        </w:rPr>
        <w:t>cursos de acción para la formulación de políticas en el Centro Medico de Puerto Rico. Más adelante se identifica</w:t>
      </w:r>
      <w:r w:rsidR="00DC14F5">
        <w:rPr>
          <w:sz w:val="21"/>
          <w:szCs w:val="21"/>
        </w:rPr>
        <w:t>n progresos alcanzados durante los pasados cuatro (4) a</w:t>
      </w:r>
      <w:r w:rsidR="00DC14F5">
        <w:rPr>
          <w:rFonts w:cstheme="minorHAnsi"/>
          <w:sz w:val="21"/>
          <w:szCs w:val="21"/>
        </w:rPr>
        <w:t>ñ</w:t>
      </w:r>
      <w:r w:rsidR="00DC14F5">
        <w:rPr>
          <w:sz w:val="21"/>
          <w:szCs w:val="21"/>
        </w:rPr>
        <w:t>os y</w:t>
      </w:r>
      <w:r w:rsidR="005A3499">
        <w:rPr>
          <w:sz w:val="21"/>
          <w:szCs w:val="21"/>
        </w:rPr>
        <w:t xml:space="preserve"> el contenido del informe antes mencionado.</w:t>
      </w:r>
    </w:p>
    <w:p w:rsidR="00D060B0" w:rsidRPr="00C079C4" w:rsidRDefault="005A3499" w:rsidP="00D060B0">
      <w:pPr>
        <w:pStyle w:val="Heading2"/>
        <w:spacing w:before="0" w:line="360" w:lineRule="auto"/>
        <w:rPr>
          <w:color w:val="1F497D" w:themeColor="text2"/>
          <w:sz w:val="22"/>
          <w:szCs w:val="22"/>
        </w:rPr>
      </w:pPr>
      <w:bookmarkStart w:id="1" w:name="_Toc463269789"/>
      <w:r w:rsidRPr="00C079C4">
        <w:rPr>
          <w:color w:val="1F497D" w:themeColor="text2"/>
          <w:sz w:val="22"/>
          <w:szCs w:val="22"/>
        </w:rPr>
        <w:t>Contexto:</w:t>
      </w:r>
      <w:bookmarkEnd w:id="1"/>
    </w:p>
    <w:p w:rsidR="00507431" w:rsidRDefault="00507431" w:rsidP="00D060B0">
      <w:pPr>
        <w:spacing w:line="240" w:lineRule="auto"/>
        <w:jc w:val="both"/>
        <w:rPr>
          <w:sz w:val="21"/>
          <w:szCs w:val="21"/>
        </w:rPr>
      </w:pPr>
      <w:r>
        <w:rPr>
          <w:noProof/>
          <w:sz w:val="21"/>
          <w:szCs w:val="21"/>
          <w:lang w:eastAsia="es-PR"/>
        </w:rPr>
        <w:drawing>
          <wp:anchor distT="0" distB="0" distL="114300" distR="114300" simplePos="0" relativeHeight="251658240" behindDoc="0" locked="0" layoutInCell="1" allowOverlap="1" wp14:anchorId="797DB4D5" wp14:editId="668F599F">
            <wp:simplePos x="0" y="0"/>
            <wp:positionH relativeFrom="column">
              <wp:posOffset>2557780</wp:posOffset>
            </wp:positionH>
            <wp:positionV relativeFrom="paragraph">
              <wp:posOffset>334010</wp:posOffset>
            </wp:positionV>
            <wp:extent cx="3405505" cy="20193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5505" cy="2019300"/>
                    </a:xfrm>
                    <a:prstGeom prst="rect">
                      <a:avLst/>
                    </a:prstGeom>
                    <a:noFill/>
                  </pic:spPr>
                </pic:pic>
              </a:graphicData>
            </a:graphic>
            <wp14:sizeRelH relativeFrom="page">
              <wp14:pctWidth>0</wp14:pctWidth>
            </wp14:sizeRelH>
            <wp14:sizeRelV relativeFrom="page">
              <wp14:pctHeight>0</wp14:pctHeight>
            </wp14:sizeRelV>
          </wp:anchor>
        </w:drawing>
      </w:r>
      <w:r w:rsidR="008009F2" w:rsidRPr="00474D38">
        <w:rPr>
          <w:sz w:val="21"/>
          <w:szCs w:val="21"/>
        </w:rPr>
        <w:t>Desde su origen en el 1957,  la Junta Provisional del Centro Médico,  luego en el 1962 la Corporación de Servicios del Centro Médico (la corporación) y posteriormente, desde 1978, la Administración de Servicios M</w:t>
      </w:r>
      <w:r w:rsidR="00474D38" w:rsidRPr="00474D38">
        <w:rPr>
          <w:sz w:val="21"/>
          <w:szCs w:val="21"/>
        </w:rPr>
        <w:t>édicos (ASEM), no co</w:t>
      </w:r>
      <w:r w:rsidR="008009F2" w:rsidRPr="00474D38">
        <w:rPr>
          <w:sz w:val="21"/>
          <w:szCs w:val="21"/>
        </w:rPr>
        <w:t>ntaron con un modelo o estructura adecuada para cumplir  los compromisos económicos con sus proveedores y diversas organizaciones gubernamentales a tono con los términ</w:t>
      </w:r>
      <w:r>
        <w:rPr>
          <w:sz w:val="21"/>
          <w:szCs w:val="21"/>
        </w:rPr>
        <w:t xml:space="preserve">os acordados entre las partes. </w:t>
      </w:r>
      <w:r w:rsidR="008009F2" w:rsidRPr="00474D38">
        <w:rPr>
          <w:sz w:val="21"/>
          <w:szCs w:val="21"/>
        </w:rPr>
        <w:t xml:space="preserve">Esta situación emergió principalmente como producto de las deudas acumuladas </w:t>
      </w:r>
      <w:r w:rsidR="008C32F9">
        <w:rPr>
          <w:sz w:val="21"/>
          <w:szCs w:val="21"/>
        </w:rPr>
        <w:t xml:space="preserve">de las </w:t>
      </w:r>
      <w:r w:rsidR="008C32F9" w:rsidRPr="008C32F9">
        <w:rPr>
          <w:i/>
          <w:sz w:val="21"/>
          <w:szCs w:val="21"/>
        </w:rPr>
        <w:t xml:space="preserve">Entidades Participantes </w:t>
      </w:r>
      <w:r w:rsidR="008009F2" w:rsidRPr="00474D38">
        <w:rPr>
          <w:sz w:val="21"/>
          <w:szCs w:val="21"/>
        </w:rPr>
        <w:t>con la organización, las deudas acumuladas de las aseguradoras de planes médicos a partir del año 1998, así como por la diferencia de los costos que conllevan los servicios y las tarifas pagadas por la industria aseguradora de los mismos en conjunto con la estructura organizacional adoptada</w:t>
      </w:r>
      <w:r w:rsidR="00B071FC">
        <w:rPr>
          <w:sz w:val="21"/>
          <w:szCs w:val="21"/>
        </w:rPr>
        <w:t>, políticas del estado</w:t>
      </w:r>
      <w:r w:rsidR="008009F2" w:rsidRPr="00474D38">
        <w:rPr>
          <w:sz w:val="21"/>
          <w:szCs w:val="21"/>
        </w:rPr>
        <w:t xml:space="preserve"> y la dinámica interna sobre la toma de decisiones. </w:t>
      </w:r>
    </w:p>
    <w:p w:rsidR="00F24E06" w:rsidRPr="00474D38" w:rsidRDefault="00F24E06" w:rsidP="00D060B0">
      <w:pPr>
        <w:spacing w:line="240" w:lineRule="auto"/>
        <w:jc w:val="both"/>
        <w:rPr>
          <w:sz w:val="21"/>
          <w:szCs w:val="21"/>
        </w:rPr>
      </w:pPr>
      <w:r>
        <w:rPr>
          <w:sz w:val="21"/>
          <w:szCs w:val="21"/>
        </w:rPr>
        <w:t xml:space="preserve">La </w:t>
      </w:r>
      <w:r w:rsidR="00C079C4">
        <w:rPr>
          <w:sz w:val="21"/>
          <w:szCs w:val="21"/>
        </w:rPr>
        <w:t>gr</w:t>
      </w:r>
      <w:r w:rsidR="00C079C4">
        <w:rPr>
          <w:rFonts w:cstheme="minorHAnsi"/>
          <w:sz w:val="21"/>
          <w:szCs w:val="21"/>
        </w:rPr>
        <w:t>á</w:t>
      </w:r>
      <w:r>
        <w:rPr>
          <w:sz w:val="21"/>
          <w:szCs w:val="21"/>
        </w:rPr>
        <w:t>fica a la derecha presenta los resultados financieros operacionales auditados</w:t>
      </w:r>
      <w:r w:rsidR="008D4310">
        <w:rPr>
          <w:sz w:val="21"/>
          <w:szCs w:val="21"/>
        </w:rPr>
        <w:t xml:space="preserve"> desde el 1998</w:t>
      </w:r>
      <w:r>
        <w:rPr>
          <w:sz w:val="21"/>
          <w:szCs w:val="21"/>
        </w:rPr>
        <w:t xml:space="preserve"> y las proyecciones hasta el 2026 realizadas por la firma Conway Mackenzie</w:t>
      </w:r>
      <w:r w:rsidR="008D4310">
        <w:rPr>
          <w:sz w:val="21"/>
          <w:szCs w:val="21"/>
        </w:rPr>
        <w:t xml:space="preserve"> contratada</w:t>
      </w:r>
      <w:r>
        <w:rPr>
          <w:sz w:val="21"/>
          <w:szCs w:val="21"/>
        </w:rPr>
        <w:t xml:space="preserve"> por el Banco Gubernamental de Fomento. </w:t>
      </w:r>
    </w:p>
    <w:p w:rsidR="008C32F9" w:rsidRPr="008C32F9" w:rsidRDefault="008009F2" w:rsidP="00D060B0">
      <w:pPr>
        <w:spacing w:line="240" w:lineRule="auto"/>
        <w:jc w:val="both"/>
        <w:rPr>
          <w:sz w:val="21"/>
          <w:szCs w:val="21"/>
        </w:rPr>
      </w:pPr>
      <w:r w:rsidRPr="008C32F9">
        <w:rPr>
          <w:sz w:val="21"/>
          <w:szCs w:val="21"/>
        </w:rPr>
        <w:t xml:space="preserve">Cuando </w:t>
      </w:r>
      <w:r w:rsidR="008C32F9" w:rsidRPr="008C32F9">
        <w:rPr>
          <w:sz w:val="21"/>
          <w:szCs w:val="21"/>
        </w:rPr>
        <w:t>simulamos</w:t>
      </w:r>
      <w:r w:rsidRPr="008C32F9">
        <w:rPr>
          <w:sz w:val="21"/>
          <w:szCs w:val="21"/>
        </w:rPr>
        <w:t xml:space="preserve">, bajo el supuesto de que las </w:t>
      </w:r>
      <w:r w:rsidRPr="008C32F9">
        <w:rPr>
          <w:i/>
          <w:sz w:val="21"/>
          <w:szCs w:val="21"/>
        </w:rPr>
        <w:t>Entidades Participantes</w:t>
      </w:r>
      <w:r w:rsidR="00507431">
        <w:rPr>
          <w:sz w:val="21"/>
          <w:szCs w:val="21"/>
        </w:rPr>
        <w:t xml:space="preserve"> satisfagan</w:t>
      </w:r>
      <w:r w:rsidRPr="008C32F9">
        <w:rPr>
          <w:sz w:val="21"/>
          <w:szCs w:val="21"/>
        </w:rPr>
        <w:t xml:space="preserve"> el 75% de sus deudas acumuladas correspondientes</w:t>
      </w:r>
      <w:r w:rsidR="00B071FC">
        <w:rPr>
          <w:sz w:val="21"/>
          <w:szCs w:val="21"/>
        </w:rPr>
        <w:t xml:space="preserve"> (solamente)</w:t>
      </w:r>
      <w:r w:rsidRPr="008C32F9">
        <w:rPr>
          <w:sz w:val="21"/>
          <w:szCs w:val="21"/>
        </w:rPr>
        <w:t xml:space="preserve"> a los años</w:t>
      </w:r>
      <w:r w:rsidR="008C32F9" w:rsidRPr="008C32F9">
        <w:rPr>
          <w:sz w:val="21"/>
          <w:szCs w:val="21"/>
        </w:rPr>
        <w:t xml:space="preserve"> fiscales 2014-2015 y 2015-2016, </w:t>
      </w:r>
      <w:r w:rsidR="008C32F9" w:rsidRPr="00B071FC">
        <w:rPr>
          <w:b/>
          <w:i/>
          <w:sz w:val="21"/>
          <w:szCs w:val="21"/>
        </w:rPr>
        <w:t>observaríamos</w:t>
      </w:r>
      <w:r w:rsidRPr="00B071FC">
        <w:rPr>
          <w:b/>
          <w:i/>
          <w:sz w:val="21"/>
          <w:szCs w:val="21"/>
        </w:rPr>
        <w:t xml:space="preserve"> un saldo positivo en la liquidez</w:t>
      </w:r>
      <w:r w:rsidR="008C32F9" w:rsidRPr="00B071FC">
        <w:rPr>
          <w:b/>
          <w:i/>
          <w:sz w:val="21"/>
          <w:szCs w:val="21"/>
        </w:rPr>
        <w:t xml:space="preserve"> de la ASEM</w:t>
      </w:r>
      <w:r w:rsidR="008C32F9" w:rsidRPr="00B071FC">
        <w:rPr>
          <w:b/>
          <w:sz w:val="21"/>
          <w:szCs w:val="21"/>
        </w:rPr>
        <w:t xml:space="preserve"> </w:t>
      </w:r>
      <w:r w:rsidR="008C32F9" w:rsidRPr="008C32F9">
        <w:rPr>
          <w:sz w:val="21"/>
          <w:szCs w:val="21"/>
        </w:rPr>
        <w:t>para el a</w:t>
      </w:r>
      <w:r w:rsidR="008C32F9" w:rsidRPr="008C32F9">
        <w:rPr>
          <w:rFonts w:cstheme="minorHAnsi"/>
          <w:sz w:val="21"/>
          <w:szCs w:val="21"/>
        </w:rPr>
        <w:t>ñ</w:t>
      </w:r>
      <w:r w:rsidR="008C32F9" w:rsidRPr="008C32F9">
        <w:rPr>
          <w:sz w:val="21"/>
          <w:szCs w:val="21"/>
        </w:rPr>
        <w:t>o fiscal 2016.</w:t>
      </w:r>
      <w:r w:rsidRPr="008C32F9">
        <w:rPr>
          <w:sz w:val="21"/>
          <w:szCs w:val="21"/>
        </w:rPr>
        <w:t xml:space="preserve"> </w:t>
      </w:r>
    </w:p>
    <w:p w:rsidR="008009F2" w:rsidRPr="00474D38" w:rsidRDefault="008009F2" w:rsidP="00D060B0">
      <w:pPr>
        <w:spacing w:line="240" w:lineRule="auto"/>
        <w:jc w:val="both"/>
        <w:rPr>
          <w:sz w:val="21"/>
          <w:szCs w:val="21"/>
        </w:rPr>
      </w:pPr>
      <w:r w:rsidRPr="00474D38">
        <w:rPr>
          <w:sz w:val="21"/>
          <w:szCs w:val="21"/>
        </w:rPr>
        <w:t>Según evidenciado en los</w:t>
      </w:r>
      <w:r w:rsidR="00B071FC">
        <w:rPr>
          <w:sz w:val="21"/>
          <w:szCs w:val="21"/>
        </w:rPr>
        <w:t xml:space="preserve"> estados financieros auditados </w:t>
      </w:r>
      <w:r w:rsidRPr="00474D38">
        <w:rPr>
          <w:sz w:val="21"/>
          <w:szCs w:val="21"/>
        </w:rPr>
        <w:t>e historiales legislativos, las cuentas a pagar y cobrar sobrepasaban decenas de millones de dólares desde la década de los 60. Esto es, desde el comienzo del Centro Médico.</w:t>
      </w:r>
    </w:p>
    <w:p w:rsidR="008009F2" w:rsidRPr="00474D38" w:rsidRDefault="008009F2" w:rsidP="00D060B0">
      <w:pPr>
        <w:spacing w:line="240" w:lineRule="auto"/>
        <w:jc w:val="both"/>
        <w:rPr>
          <w:sz w:val="21"/>
          <w:szCs w:val="21"/>
        </w:rPr>
      </w:pPr>
      <w:r w:rsidRPr="00474D38">
        <w:rPr>
          <w:sz w:val="21"/>
          <w:szCs w:val="21"/>
        </w:rPr>
        <w:t xml:space="preserve">Además, de acuerdo con lo documentado en los diarios de sesiones legislativas, la inhabilidad de la Junta de Directores de la entonces Corporación en lidiar con la ecuación económica y gobernanza, fue una de las razones principales que dio lugar a la actual Ley Núm. 66 del 22 de junio de 1978, según enmendada, conocida como la “Ley de la Administración de Servicios Médicos de Puerto Rico” (Ley Núm. 66) que deroga la Ley Núm. 106 del 26 de junio de 1962, según enmendada, conocida como la “Ley del Centro Médico de Puerto Rico” (Ley Núm. 106) con el propósito de buscar una solución a la problemática de organización, financiamiento y prestación de servicios de salud. Sin embargo, este cambio de ley no resolvió el problema y tampoco la "Reforma de Salud" de los 90, ya que aún cuando se transformó en el modelo mediante el cual el Estado proveía servicios de salud (de proveedor a comprador, excepto en el Centro Médico y el Hospital Regional de Bayamón) la estructura organizacional de la ASEM, con la excepción de la creación de procesos de cobros a los planes médicos, permaneció prácticamente inalterada y las deficiencias financieras </w:t>
      </w:r>
      <w:r w:rsidRPr="00474D38">
        <w:rPr>
          <w:sz w:val="21"/>
          <w:szCs w:val="21"/>
        </w:rPr>
        <w:lastRenderedPageBreak/>
        <w:t xml:space="preserve">operacionales </w:t>
      </w:r>
      <w:r w:rsidR="00332AFE" w:rsidRPr="00474D38">
        <w:rPr>
          <w:sz w:val="21"/>
          <w:szCs w:val="21"/>
        </w:rPr>
        <w:t>oscilaron</w:t>
      </w:r>
      <w:r w:rsidRPr="00474D38">
        <w:rPr>
          <w:sz w:val="21"/>
          <w:szCs w:val="21"/>
        </w:rPr>
        <w:t xml:space="preserve"> entre seis punto seis a noventa y cuatro punto siete millones de dólares ($6,600,000-$94</w:t>
      </w:r>
      <w:r w:rsidR="00303E1D">
        <w:rPr>
          <w:sz w:val="21"/>
          <w:szCs w:val="21"/>
        </w:rPr>
        <w:t>,700,00)</w:t>
      </w:r>
      <w:r w:rsidR="00332AFE">
        <w:rPr>
          <w:sz w:val="21"/>
          <w:szCs w:val="21"/>
        </w:rPr>
        <w:t>anuales entre 1998-2016</w:t>
      </w:r>
      <w:r w:rsidR="005B30E3">
        <w:rPr>
          <w:sz w:val="21"/>
          <w:szCs w:val="21"/>
        </w:rPr>
        <w:t xml:space="preserve">, </w:t>
      </w:r>
      <w:r w:rsidR="00303E1D">
        <w:rPr>
          <w:sz w:val="21"/>
          <w:szCs w:val="21"/>
        </w:rPr>
        <w:t>como se aprecia en la gráfica presentada en la página anterior</w:t>
      </w:r>
      <w:r w:rsidRPr="00474D38">
        <w:rPr>
          <w:sz w:val="21"/>
          <w:szCs w:val="21"/>
        </w:rPr>
        <w:t>.</w:t>
      </w:r>
    </w:p>
    <w:p w:rsidR="008009F2" w:rsidRPr="00474D38" w:rsidRDefault="008009F2" w:rsidP="00D060B0">
      <w:pPr>
        <w:spacing w:line="240" w:lineRule="auto"/>
        <w:jc w:val="both"/>
        <w:rPr>
          <w:sz w:val="21"/>
          <w:szCs w:val="21"/>
        </w:rPr>
      </w:pPr>
      <w:r w:rsidRPr="00474D38">
        <w:rPr>
          <w:sz w:val="21"/>
          <w:szCs w:val="21"/>
        </w:rPr>
        <w:t>Desde el punto de vista médico esta condición</w:t>
      </w:r>
      <w:r w:rsidR="00332AFE">
        <w:rPr>
          <w:sz w:val="21"/>
          <w:szCs w:val="21"/>
        </w:rPr>
        <w:t xml:space="preserve"> de deficiencias financieras</w:t>
      </w:r>
      <w:r w:rsidRPr="00474D38">
        <w:rPr>
          <w:sz w:val="21"/>
          <w:szCs w:val="21"/>
        </w:rPr>
        <w:t xml:space="preserve"> sería catalogada como crónica. Ante la inacción del Estado de proceder con los cambios propuestos, diversas administraciones se centraron en negociar planes de pagos o posponer los mismos, solicitar líneas de crédito al Banco Gubernamental de Fomento (BGF), obtener asignaciones legislativas para las operaciones y adquisiciones de equipos, requerir fondos de emergencia a la Oficina de Gerencia y Presupuesto (OGP), entre otras cosas, a fin de evitar disminuciones significativas o colapsos en la prestación de servicios médicos. Sin embargo, el “ADN” de donde emergen las pérdidas operacionales no fue trabajado en su raíz. Por lo que, las medidas paliativas adoptadas a través del tiempo no resultaron efectivas para trabajar la cronicidad de la situación financiera de la organización. Propuestas sustantivas a mediados de la primera década de este siglo y más recientemente entre 2013-2015, no progresaron más allá del ejecutivo o el legislativo.</w:t>
      </w:r>
    </w:p>
    <w:p w:rsidR="00B645EF" w:rsidRDefault="008009F2" w:rsidP="00D060B0">
      <w:pPr>
        <w:spacing w:line="240" w:lineRule="auto"/>
        <w:jc w:val="both"/>
        <w:rPr>
          <w:sz w:val="21"/>
          <w:szCs w:val="21"/>
        </w:rPr>
      </w:pPr>
      <w:r w:rsidRPr="00474D38">
        <w:rPr>
          <w:sz w:val="21"/>
          <w:szCs w:val="21"/>
        </w:rPr>
        <w:t xml:space="preserve">Sobre este último punto, es importante señalar el hecho de que las propuestas de la administración en su mayoría fueron dirigidas a lidiar con el entorno externo y muy pocas a los vectores o dimensiones internas como: logísticas operacionales, métricas, cultura, normativas e “internal politics”, entre otras. Perdiendo de perspectiva a su vez, la co-evolución dinámica necesaria entre el entorno externo e interno </w:t>
      </w:r>
      <w:r w:rsidR="00332AFE">
        <w:rPr>
          <w:sz w:val="21"/>
          <w:szCs w:val="21"/>
        </w:rPr>
        <w:t>que incide en el desempe</w:t>
      </w:r>
      <w:r w:rsidR="00332AFE">
        <w:rPr>
          <w:rFonts w:cstheme="minorHAnsi"/>
          <w:sz w:val="21"/>
          <w:szCs w:val="21"/>
        </w:rPr>
        <w:t>ñ</w:t>
      </w:r>
      <w:r w:rsidR="00332AFE">
        <w:rPr>
          <w:sz w:val="21"/>
          <w:szCs w:val="21"/>
        </w:rPr>
        <w:t>o organizacional.</w:t>
      </w:r>
    </w:p>
    <w:p w:rsidR="00DC14F5" w:rsidRPr="005B30E3" w:rsidRDefault="00DC14F5" w:rsidP="00483825">
      <w:pPr>
        <w:pStyle w:val="Heading2"/>
        <w:spacing w:line="360" w:lineRule="auto"/>
        <w:rPr>
          <w:color w:val="1F497D" w:themeColor="text2"/>
          <w:sz w:val="22"/>
          <w:szCs w:val="22"/>
        </w:rPr>
      </w:pPr>
      <w:bookmarkStart w:id="2" w:name="_Toc463269790"/>
      <w:r w:rsidRPr="005B30E3">
        <w:rPr>
          <w:color w:val="1F497D" w:themeColor="text2"/>
          <w:sz w:val="22"/>
          <w:szCs w:val="22"/>
        </w:rPr>
        <w:t>Progresos alcanzados</w:t>
      </w:r>
      <w:bookmarkEnd w:id="2"/>
    </w:p>
    <w:tbl>
      <w:tblPr>
        <w:tblStyle w:val="TableGrid"/>
        <w:tblW w:w="10080" w:type="dxa"/>
        <w:tblInd w:w="-72" w:type="dxa"/>
        <w:tblLayout w:type="fixed"/>
        <w:tblLook w:val="04A0" w:firstRow="1" w:lastRow="0" w:firstColumn="1" w:lastColumn="0" w:noHBand="0" w:noVBand="1"/>
      </w:tblPr>
      <w:tblGrid>
        <w:gridCol w:w="450"/>
        <w:gridCol w:w="1260"/>
        <w:gridCol w:w="8370"/>
      </w:tblGrid>
      <w:tr w:rsidR="00F1748D" w:rsidRPr="00190BD7" w:rsidTr="00A54C5E">
        <w:trPr>
          <w:trHeight w:val="132"/>
        </w:trPr>
        <w:tc>
          <w:tcPr>
            <w:tcW w:w="450" w:type="dxa"/>
          </w:tcPr>
          <w:p w:rsidR="00F1748D" w:rsidRPr="00190BD7" w:rsidRDefault="00F1748D" w:rsidP="00F1748D">
            <w:pPr>
              <w:rPr>
                <w:rFonts w:cstheme="minorHAnsi"/>
                <w:b/>
                <w:color w:val="FF0000"/>
                <w:sz w:val="18"/>
                <w:szCs w:val="18"/>
                <w:lang w:val="es-CL"/>
              </w:rPr>
            </w:pPr>
          </w:p>
        </w:tc>
        <w:tc>
          <w:tcPr>
            <w:tcW w:w="1260" w:type="dxa"/>
          </w:tcPr>
          <w:p w:rsidR="00F1748D" w:rsidRPr="00190BD7" w:rsidRDefault="00F1748D" w:rsidP="00F1748D">
            <w:pPr>
              <w:jc w:val="center"/>
              <w:rPr>
                <w:rFonts w:cstheme="minorHAnsi"/>
                <w:b/>
                <w:color w:val="FF0000"/>
                <w:sz w:val="18"/>
                <w:szCs w:val="18"/>
                <w:lang w:val="es-CL"/>
              </w:rPr>
            </w:pPr>
            <w:r w:rsidRPr="00FF463D">
              <w:rPr>
                <w:rFonts w:cstheme="minorHAnsi"/>
                <w:b/>
                <w:sz w:val="18"/>
                <w:szCs w:val="18"/>
                <w:lang w:val="es-CL"/>
              </w:rPr>
              <w:t xml:space="preserve">ACCIONES TOMADAS </w:t>
            </w:r>
          </w:p>
        </w:tc>
        <w:tc>
          <w:tcPr>
            <w:tcW w:w="8370" w:type="dxa"/>
          </w:tcPr>
          <w:p w:rsidR="00F1748D" w:rsidRPr="00190BD7" w:rsidRDefault="00F1748D" w:rsidP="00F1748D">
            <w:pPr>
              <w:jc w:val="center"/>
              <w:rPr>
                <w:rFonts w:cstheme="minorHAnsi"/>
                <w:b/>
                <w:color w:val="FF0000"/>
                <w:sz w:val="18"/>
                <w:szCs w:val="18"/>
                <w:lang w:val="es-CL"/>
              </w:rPr>
            </w:pPr>
            <w:r w:rsidRPr="00FF463D">
              <w:rPr>
                <w:rFonts w:cstheme="minorHAnsi"/>
                <w:b/>
                <w:sz w:val="18"/>
                <w:szCs w:val="18"/>
                <w:lang w:val="es-CL"/>
              </w:rPr>
              <w:t>LOGROS</w:t>
            </w:r>
          </w:p>
        </w:tc>
      </w:tr>
      <w:tr w:rsidR="00F1748D" w:rsidRPr="00190BD7" w:rsidTr="00A54C5E">
        <w:trPr>
          <w:trHeight w:val="132"/>
        </w:trPr>
        <w:tc>
          <w:tcPr>
            <w:tcW w:w="450" w:type="dxa"/>
          </w:tcPr>
          <w:p w:rsidR="00F1748D" w:rsidRPr="00A54C5E" w:rsidRDefault="00F1748D" w:rsidP="00F1748D">
            <w:pPr>
              <w:rPr>
                <w:rFonts w:cstheme="minorHAnsi"/>
                <w:sz w:val="18"/>
                <w:szCs w:val="18"/>
                <w:lang w:val="es-CL"/>
              </w:rPr>
            </w:pPr>
            <w:r w:rsidRPr="00A54C5E">
              <w:rPr>
                <w:rFonts w:cstheme="minorHAnsi"/>
                <w:sz w:val="18"/>
                <w:szCs w:val="18"/>
                <w:lang w:val="es-CL"/>
              </w:rPr>
              <w:t>I</w:t>
            </w:r>
          </w:p>
        </w:tc>
        <w:tc>
          <w:tcPr>
            <w:tcW w:w="1260" w:type="dxa"/>
          </w:tcPr>
          <w:p w:rsidR="00F1748D" w:rsidRPr="00A54C5E" w:rsidRDefault="00A54C5E" w:rsidP="00F1748D">
            <w:pPr>
              <w:jc w:val="center"/>
              <w:rPr>
                <w:rFonts w:cstheme="minorHAnsi"/>
                <w:sz w:val="18"/>
                <w:szCs w:val="18"/>
                <w:lang w:val="es-CL"/>
              </w:rPr>
            </w:pPr>
            <w:r>
              <w:rPr>
                <w:rFonts w:cstheme="minorHAnsi"/>
                <w:sz w:val="18"/>
                <w:szCs w:val="18"/>
                <w:lang w:val="es-CL"/>
              </w:rPr>
              <w:t>Reconceptua-lización y Medidas Fiscales</w:t>
            </w:r>
          </w:p>
        </w:tc>
        <w:tc>
          <w:tcPr>
            <w:tcW w:w="8370" w:type="dxa"/>
          </w:tcPr>
          <w:p w:rsidR="00F1748D" w:rsidRPr="00190BD7" w:rsidRDefault="00F1748D" w:rsidP="00F44FB2">
            <w:pPr>
              <w:rPr>
                <w:rFonts w:eastAsia="Calibri" w:cstheme="minorHAnsi"/>
                <w:sz w:val="18"/>
                <w:szCs w:val="18"/>
                <w:lang w:val="es-PR"/>
              </w:rPr>
            </w:pPr>
            <w:r w:rsidRPr="00190BD7">
              <w:rPr>
                <w:rFonts w:eastAsia="Calibri" w:cstheme="minorHAnsi"/>
                <w:sz w:val="18"/>
                <w:szCs w:val="18"/>
                <w:lang w:val="es-PR"/>
              </w:rPr>
              <w:t>Desarrollo de las bases, a través de varios estudios sobre la situación fiscal, operacional y de rec</w:t>
            </w:r>
            <w:r w:rsidR="00A54C5E">
              <w:rPr>
                <w:rFonts w:eastAsia="Calibri" w:cstheme="minorHAnsi"/>
                <w:sz w:val="18"/>
                <w:szCs w:val="18"/>
                <w:lang w:val="es-PR"/>
              </w:rPr>
              <w:t xml:space="preserve">ursos humanos, tecnológicos y </w:t>
            </w:r>
            <w:r w:rsidRPr="00190BD7">
              <w:rPr>
                <w:rFonts w:eastAsia="Calibri" w:cstheme="minorHAnsi"/>
                <w:sz w:val="18"/>
                <w:szCs w:val="18"/>
                <w:lang w:val="es-PR"/>
              </w:rPr>
              <w:t>de los componentes del Centro Médico, a los fines de re-conceptualizar el modelo estructural actual. Las órdenes ejecutivas OE-2013-50 y OE-2014-11, hicieron manifiesto la necesidad de re-conceptualizar el modelo estructural (operaciones, normativas, cultura, recursos, estrategias, dinámicas internas de gobernanza…) del Centro Médico, dados, entre otros, los resultados de deficiencias fiscales (auditadas) desde finales de los años 90, así como las deficiencias estructurales de las clínicas externas, salas de operaciones y sistema de vapor además del esquema instituido a través de los años de gobernanza.</w:t>
            </w:r>
          </w:p>
          <w:p w:rsidR="00F1748D" w:rsidRPr="00190BD7" w:rsidRDefault="00F1748D" w:rsidP="00F44FB2">
            <w:pPr>
              <w:rPr>
                <w:rFonts w:eastAsia="Calibri" w:cstheme="minorHAnsi"/>
                <w:sz w:val="18"/>
                <w:szCs w:val="18"/>
                <w:lang w:val="es-PR"/>
              </w:rPr>
            </w:pPr>
            <w:r w:rsidRPr="00190BD7">
              <w:rPr>
                <w:rFonts w:eastAsia="Calibri" w:cstheme="minorHAnsi"/>
                <w:sz w:val="18"/>
                <w:szCs w:val="18"/>
                <w:lang w:val="es-PR"/>
              </w:rPr>
              <w:t xml:space="preserve">Como resultado, se recomendaron 2 cursos de acción al Grupo de Recuperación Económica y Fiscal del ELA: </w:t>
            </w:r>
          </w:p>
          <w:p w:rsidR="00F1748D" w:rsidRPr="00190BD7" w:rsidRDefault="00F1748D" w:rsidP="00F44FB2">
            <w:pPr>
              <w:pStyle w:val="ListParagraph"/>
              <w:numPr>
                <w:ilvl w:val="0"/>
                <w:numId w:val="12"/>
              </w:numPr>
              <w:rPr>
                <w:rFonts w:cstheme="minorHAnsi"/>
                <w:b/>
                <w:sz w:val="18"/>
                <w:szCs w:val="18"/>
                <w:lang w:val="es-PR"/>
              </w:rPr>
            </w:pPr>
            <w:r w:rsidRPr="00190BD7">
              <w:rPr>
                <w:rFonts w:cstheme="minorHAnsi"/>
                <w:sz w:val="18"/>
                <w:szCs w:val="18"/>
                <w:lang w:val="es-PR"/>
              </w:rPr>
              <w:t>Establecer APP funcionales en hospitales estatales (facturación, admisiones, servicios de mantenimiento y de alimentos, entre otros servicios de apoyo), para traer las mejores prácticas, centralizar funciones y simplificar procesos (por ej., cancelaciones de cirugías; administración eficiente de sala de emergencias)</w:t>
            </w:r>
          </w:p>
          <w:p w:rsidR="00F1748D" w:rsidRPr="00190BD7" w:rsidRDefault="00F1748D" w:rsidP="00F44FB2">
            <w:pPr>
              <w:pStyle w:val="ListParagraph"/>
              <w:numPr>
                <w:ilvl w:val="0"/>
                <w:numId w:val="12"/>
              </w:numPr>
              <w:rPr>
                <w:rFonts w:cstheme="minorHAnsi"/>
                <w:b/>
                <w:sz w:val="18"/>
                <w:szCs w:val="18"/>
                <w:lang w:val="es-PR"/>
              </w:rPr>
            </w:pPr>
            <w:r w:rsidRPr="00190BD7">
              <w:rPr>
                <w:rFonts w:cstheme="minorHAnsi"/>
                <w:sz w:val="18"/>
                <w:szCs w:val="18"/>
                <w:lang w:val="es-PR"/>
              </w:rPr>
              <w:t xml:space="preserve">Crear el Puerto Rico Medical Center Campus organizado en torno a instituciones especializadas integrando a todos los hospitales del gobierno en una sola organización(2) </w:t>
            </w:r>
            <w:r w:rsidRPr="00190BD7">
              <w:rPr>
                <w:rFonts w:cstheme="minorHAnsi"/>
                <w:sz w:val="18"/>
                <w:szCs w:val="18"/>
              </w:rPr>
              <w:sym w:font="Symbol" w:char="F076"/>
            </w:r>
            <w:r w:rsidRPr="00190BD7">
              <w:rPr>
                <w:rFonts w:cstheme="minorHAnsi"/>
                <w:sz w:val="18"/>
                <w:szCs w:val="18"/>
                <w:lang w:val="es-PR"/>
              </w:rPr>
              <w:t xml:space="preserve"> La Fase 1 contempla consolidar la Administración de Servicios Médicos de Puerto Rico (“ASEM”), el Hospital Universitario y el Hospital Pediátrico Universitario (“HOPU”) </w:t>
            </w:r>
            <w:r w:rsidRPr="00190BD7">
              <w:rPr>
                <w:rFonts w:cstheme="minorHAnsi"/>
                <w:sz w:val="18"/>
                <w:szCs w:val="18"/>
              </w:rPr>
              <w:sym w:font="Symbol" w:char="F076"/>
            </w:r>
            <w:r w:rsidRPr="00190BD7">
              <w:rPr>
                <w:rFonts w:cstheme="minorHAnsi"/>
                <w:sz w:val="18"/>
                <w:szCs w:val="18"/>
                <w:lang w:val="es-PR"/>
              </w:rPr>
              <w:t xml:space="preserve"> La Fase 2 consolidaría el Hospital Industrial, operado actualmente por el Fondo del Seguro del Estado, con los otros hospitales del gobierno</w:t>
            </w:r>
          </w:p>
          <w:p w:rsidR="00F1748D" w:rsidRPr="00190BD7" w:rsidRDefault="00F1748D" w:rsidP="00F44FB2">
            <w:pPr>
              <w:rPr>
                <w:rFonts w:cstheme="minorHAnsi"/>
                <w:sz w:val="18"/>
                <w:szCs w:val="18"/>
                <w:lang w:val="es-PR"/>
              </w:rPr>
            </w:pPr>
            <w:r w:rsidRPr="00190BD7">
              <w:rPr>
                <w:rFonts w:cstheme="minorHAnsi"/>
                <w:sz w:val="18"/>
                <w:szCs w:val="18"/>
                <w:lang w:val="es-PR"/>
              </w:rPr>
              <w:t>Además, se elaboraron los siguientes modelos alternos:</w:t>
            </w:r>
          </w:p>
          <w:p w:rsidR="007D23D0" w:rsidRDefault="007D23D0" w:rsidP="007D23D0">
            <w:pPr>
              <w:rPr>
                <w:color w:val="002060"/>
                <w:sz w:val="18"/>
                <w:szCs w:val="18"/>
                <w:lang w:val="es-PR"/>
              </w:rPr>
            </w:pPr>
            <w:bookmarkStart w:id="3" w:name="_Toc452797585"/>
            <w:bookmarkStart w:id="4" w:name="_Toc453411733"/>
            <w:bookmarkStart w:id="5" w:name="_Toc453512891"/>
            <w:bookmarkStart w:id="6" w:name="_Toc453518591"/>
            <w:bookmarkStart w:id="7" w:name="_Toc455148784"/>
          </w:p>
          <w:p w:rsidR="00F1748D" w:rsidRPr="007D23D0" w:rsidRDefault="00F1748D" w:rsidP="007D23D0">
            <w:pPr>
              <w:rPr>
                <w:sz w:val="18"/>
                <w:szCs w:val="18"/>
                <w:lang w:val="es-ES"/>
              </w:rPr>
            </w:pPr>
            <w:r w:rsidRPr="007D23D0">
              <w:rPr>
                <w:color w:val="002060"/>
                <w:sz w:val="18"/>
                <w:szCs w:val="18"/>
                <w:lang w:val="es-PR"/>
              </w:rPr>
              <w:t xml:space="preserve">Modelo I: </w:t>
            </w:r>
            <w:r w:rsidRPr="007D23D0">
              <w:rPr>
                <w:sz w:val="18"/>
                <w:szCs w:val="18"/>
                <w:lang w:val="es-ES"/>
              </w:rPr>
              <w:t>Centro de coordinación de ruta de los servicios de atención médica e infraestructura en el CM (</w:t>
            </w:r>
            <w:r w:rsidRPr="007D23D0">
              <w:rPr>
                <w:i/>
                <w:sz w:val="18"/>
                <w:szCs w:val="18"/>
                <w:lang w:val="es-ES"/>
              </w:rPr>
              <w:t>Hub: connecting point</w:t>
            </w:r>
            <w:r w:rsidRPr="007D23D0">
              <w:rPr>
                <w:sz w:val="18"/>
                <w:szCs w:val="18"/>
                <w:lang w:val="es-ES"/>
              </w:rPr>
              <w:t>).​​​</w:t>
            </w:r>
            <w:bookmarkEnd w:id="3"/>
            <w:bookmarkEnd w:id="4"/>
            <w:bookmarkEnd w:id="5"/>
            <w:bookmarkEnd w:id="6"/>
            <w:bookmarkEnd w:id="7"/>
            <w:r w:rsidRPr="007D23D0">
              <w:rPr>
                <w:sz w:val="18"/>
                <w:szCs w:val="18"/>
                <w:lang w:val="es-ES"/>
              </w:rPr>
              <w:t xml:space="preserve"> </w:t>
            </w:r>
          </w:p>
          <w:p w:rsidR="00F1748D" w:rsidRPr="00190BD7" w:rsidRDefault="00F1748D" w:rsidP="00F44FB2">
            <w:pPr>
              <w:rPr>
                <w:rFonts w:cstheme="minorHAnsi"/>
                <w:sz w:val="18"/>
                <w:szCs w:val="18"/>
                <w:lang w:val="es-PR"/>
              </w:rPr>
            </w:pP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Función:</w:t>
            </w:r>
            <w:r w:rsidRPr="00190BD7">
              <w:rPr>
                <w:rFonts w:eastAsia="Book Antiqua" w:cstheme="minorHAnsi"/>
                <w:sz w:val="18"/>
                <w:szCs w:val="18"/>
                <w:lang w:val="es-ES"/>
              </w:rPr>
              <w:t xml:space="preserve"> Proveer la infraestructura física, logística, de capital humano y financiero para las operaciones del Centro Médico y actuar como centro de estabilización de pacientes (</w:t>
            </w:r>
            <w:r w:rsidRPr="00190BD7">
              <w:rPr>
                <w:rFonts w:eastAsia="Book Antiqua" w:cstheme="minorHAnsi"/>
                <w:i/>
                <w:sz w:val="18"/>
                <w:szCs w:val="18"/>
                <w:lang w:val="es-ES"/>
              </w:rPr>
              <w:t>Hub</w:t>
            </w:r>
            <w:r w:rsidRPr="00190BD7">
              <w:rPr>
                <w:rFonts w:eastAsia="Book Antiqua" w:cstheme="minorHAnsi"/>
                <w:sz w:val="18"/>
                <w:szCs w:val="18"/>
                <w:lang w:val="es-ES"/>
              </w:rPr>
              <w:t>) a ser referidos a los hospitales especializados o a las clínicas externas de los componentes del sistema.</w:t>
            </w: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Financiamiento:</w:t>
            </w:r>
            <w:r w:rsidRPr="00190BD7">
              <w:rPr>
                <w:rFonts w:eastAsia="Book Antiqua" w:cstheme="minorHAnsi"/>
                <w:sz w:val="18"/>
                <w:szCs w:val="18"/>
                <w:lang w:val="es-ES"/>
              </w:rPr>
              <w:t xml:space="preserve"> Por un periodo de 8 años el estado continuaría aportando al sistema del Centro Médico un ochenta y cinco por ciento (85%) de la cantidad actual, decreciendo anualmente hasta un cincuenta por ciento (50%) al culminar el periodo. Paralelo a esto, se negociaría con la ASES y los Centers for Medicaid Services (CMS), así como con la ACAA, un pago en “bloque” basado en estudios actuariales, costos de proveer los servicios y tomando como marco de referencia el promedio de utilización por los pasados dos (2) años de todos los componentes del sistema del Centro Médico. A su vez, el producto del pago sería ingresado en una sola cuenta (tipo fideicomiso) de donde se distribuirían proporcionalmente a la utilización a cada uno de los </w:t>
            </w:r>
            <w:r w:rsidRPr="00190BD7">
              <w:rPr>
                <w:rFonts w:eastAsia="Book Antiqua" w:cstheme="minorHAnsi"/>
                <w:sz w:val="18"/>
                <w:szCs w:val="18"/>
                <w:lang w:val="es-ES"/>
              </w:rPr>
              <w:lastRenderedPageBreak/>
              <w:t xml:space="preserve">miembros del sistema luego de descontar los costos de las actividades de infraestructura. </w:t>
            </w:r>
          </w:p>
          <w:p w:rsidR="00F1748D" w:rsidRPr="00190BD7" w:rsidRDefault="00F1748D" w:rsidP="00F44FB2">
            <w:pPr>
              <w:jc w:val="both"/>
              <w:rPr>
                <w:rFonts w:eastAsia="Book Antiqua" w:cstheme="minorHAnsi"/>
                <w:sz w:val="18"/>
                <w:szCs w:val="18"/>
                <w:lang w:val="es-ES"/>
              </w:rPr>
            </w:pPr>
            <w:r w:rsidRPr="00190BD7">
              <w:rPr>
                <w:rFonts w:eastAsia="Book Antiqua" w:cstheme="minorHAnsi"/>
                <w:sz w:val="18"/>
                <w:szCs w:val="18"/>
                <w:lang w:val="es-ES"/>
              </w:rPr>
              <w:t xml:space="preserve">En cuanto a las negociaciones con aseguradoras de planes médicos, el sistema del Centro Médico a través de la organización que se cree, negociará con éstos para todos los componentes. Lo mismo ocurriría con las rentas producto de las concesiones. </w:t>
            </w:r>
          </w:p>
          <w:p w:rsidR="00F1748D"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Estructura legal</w:t>
            </w:r>
            <w:r w:rsidRPr="00190BD7">
              <w:rPr>
                <w:rFonts w:eastAsia="Book Antiqua" w:cstheme="minorHAnsi"/>
                <w:sz w:val="18"/>
                <w:szCs w:val="18"/>
                <w:lang w:val="es-ES"/>
              </w:rPr>
              <w:t>: Sociedad Limitada (LLC) constituida por las actuales entidades participantes y otros entes privados sin fines de lucro.</w:t>
            </w:r>
          </w:p>
          <w:p w:rsidR="007D23D0" w:rsidRPr="00190BD7" w:rsidRDefault="007D23D0" w:rsidP="00F44FB2">
            <w:pPr>
              <w:jc w:val="both"/>
              <w:rPr>
                <w:rFonts w:eastAsia="Book Antiqua" w:cstheme="minorHAnsi"/>
                <w:sz w:val="18"/>
                <w:szCs w:val="18"/>
                <w:lang w:val="es-ES"/>
              </w:rPr>
            </w:pPr>
          </w:p>
          <w:p w:rsidR="00F1748D" w:rsidRPr="007D23D0" w:rsidRDefault="00F1748D" w:rsidP="007D23D0">
            <w:pPr>
              <w:rPr>
                <w:sz w:val="18"/>
                <w:szCs w:val="18"/>
                <w:lang w:val="es-ES"/>
              </w:rPr>
            </w:pPr>
            <w:bookmarkStart w:id="8" w:name="_Toc452797586"/>
            <w:bookmarkStart w:id="9" w:name="_Toc453411734"/>
            <w:bookmarkStart w:id="10" w:name="_Toc453512892"/>
            <w:bookmarkStart w:id="11" w:name="_Toc453518592"/>
            <w:bookmarkStart w:id="12" w:name="_Toc455148785"/>
            <w:r w:rsidRPr="007D23D0">
              <w:rPr>
                <w:color w:val="002060"/>
                <w:sz w:val="18"/>
                <w:szCs w:val="18"/>
                <w:lang w:val="es-ES"/>
              </w:rPr>
              <w:t xml:space="preserve">Modelo II: </w:t>
            </w:r>
            <w:r w:rsidRPr="007D23D0">
              <w:rPr>
                <w:sz w:val="18"/>
                <w:szCs w:val="18"/>
                <w:lang w:val="es-ES"/>
              </w:rPr>
              <w:t>Ecosistema (mercado) articulado mediante plataforma tecnológica y compuesto por facilidades de servicios de salud públicas y privadas agrupadas por regiones a través de la isla.</w:t>
            </w:r>
            <w:bookmarkEnd w:id="8"/>
            <w:bookmarkEnd w:id="9"/>
            <w:bookmarkEnd w:id="10"/>
            <w:bookmarkEnd w:id="11"/>
            <w:bookmarkEnd w:id="12"/>
          </w:p>
          <w:p w:rsidR="00F1748D" w:rsidRPr="00190BD7" w:rsidRDefault="00F1748D" w:rsidP="00F44FB2">
            <w:pPr>
              <w:rPr>
                <w:rFonts w:cstheme="minorHAnsi"/>
                <w:sz w:val="18"/>
                <w:szCs w:val="18"/>
                <w:lang w:val="es-PR"/>
              </w:rPr>
            </w:pP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Función:</w:t>
            </w:r>
            <w:r w:rsidRPr="00190BD7">
              <w:rPr>
                <w:rFonts w:eastAsia="Book Antiqua" w:cstheme="minorHAnsi"/>
                <w:sz w:val="18"/>
                <w:szCs w:val="18"/>
                <w:lang w:val="es-ES"/>
              </w:rPr>
              <w:t xml:space="preserve"> Coordinar las necesidades de atención médica por regiones mediante proveedores de servicios por niveles  primarios, secundarios y terciarios, donde el Centro Médico se mantenga como salvaguarda social de atención a condiciones que los componentes del ecosistema no puedan proveer, a través de su sistema de hospitales especializados e interdependientes de una infraestructura física y operacional, compartida con énfasis en las condiciones supra-terciarias. Lo que actualmente es la ASEM, se transformará en un sistema organizacional cuya función será administrar la plataforma tecnológica del ecosistema y la infraestructura física y operacional de las actuales facilidades del Centro Médico.</w:t>
            </w: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Financiamiento:</w:t>
            </w:r>
            <w:r w:rsidRPr="00190BD7">
              <w:rPr>
                <w:rFonts w:eastAsia="Book Antiqua" w:cstheme="minorHAnsi"/>
                <w:sz w:val="18"/>
                <w:szCs w:val="18"/>
                <w:lang w:val="es-ES"/>
              </w:rPr>
              <w:t xml:space="preserve"> Se realizaría través planes médicos privados, Medicare y PSG; así como por cubiertas de la  ACAA y la Corporación del Fondo del Seguro del Estado (CFSE), basado como en el Modelo I, mediante una asignación en bloque a base de la experiencia de la utilización y validados por actuarios. Los recursos económicos se ingresarán anualmente, distribuidos cada treinta (30) días, en un fideicomiso administrado por un consorcio de entidades financieras puertorriqueñas como cooperativas o bancos. Cada región contará con una cuenta independiente dentro del fideicomiso que se nutrirá de los servicios que preste a los usuarios designados para su área. De esas cuentas, proporcionalmente a la utilización por región se cubrirán los costos de los servicios médicos provistos y los costos de administrar la plataforma, así como los servicios que provean los hospitales del Centro Médico. Dicho fideicomiso podrá emitir deuda garantizada por los ingresos de las fuentes antes indicadas. El Estado, en relación al  costo promedio de utilización de servicios médicos por pacientes no asegurados, mantendrá una asignación económica equivalente a dicha ecuación. El cálculo inicial y el subsiguiente para la asignación de los recursos económicos se basará en el promedio de utilización por región, de los pasados tres (3) años fiscales y certificados por una firma independiente de actuarios y contadores públicos  autorizados. El Centro Médico sería una de estas regiones.</w:t>
            </w:r>
          </w:p>
          <w:p w:rsidR="00F1748D" w:rsidRPr="00190BD7" w:rsidRDefault="00F1748D" w:rsidP="00F44FB2">
            <w:pPr>
              <w:jc w:val="both"/>
              <w:rPr>
                <w:rFonts w:eastAsia="Book Antiqua" w:cstheme="minorHAnsi"/>
                <w:sz w:val="18"/>
                <w:szCs w:val="18"/>
                <w:lang w:val="es-ES"/>
              </w:rPr>
            </w:pPr>
            <w:r w:rsidRPr="00190BD7">
              <w:rPr>
                <w:rFonts w:eastAsia="Book Antiqua" w:cstheme="minorHAnsi"/>
                <w:sz w:val="18"/>
                <w:szCs w:val="18"/>
                <w:lang w:val="es-ES"/>
              </w:rPr>
              <w:t>Los ingresos provenientes por servicios a pacientes asegurados por Medicare y planes médicos privados, serán ingresados directamente a las cuentas individuales de los proveedores del servicio.</w:t>
            </w: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Estructura legal:</w:t>
            </w:r>
            <w:r w:rsidRPr="00190BD7">
              <w:rPr>
                <w:rFonts w:eastAsia="Book Antiqua" w:cstheme="minorHAnsi"/>
                <w:sz w:val="18"/>
                <w:szCs w:val="18"/>
                <w:lang w:val="es-ES"/>
              </w:rPr>
              <w:t xml:space="preserve"> Organización Inclusiva Responsable del Cuidado Médico (</w:t>
            </w:r>
            <w:r w:rsidRPr="00190BD7">
              <w:rPr>
                <w:rFonts w:eastAsia="Book Antiqua" w:cstheme="minorHAnsi"/>
                <w:i/>
                <w:sz w:val="18"/>
                <w:szCs w:val="18"/>
                <w:lang w:val="es-ES"/>
              </w:rPr>
              <w:t>Inclusive Accountable Care Organization</w:t>
            </w:r>
            <w:r w:rsidRPr="00190BD7">
              <w:rPr>
                <w:rFonts w:eastAsia="Book Antiqua" w:cstheme="minorHAnsi"/>
                <w:sz w:val="18"/>
                <w:szCs w:val="18"/>
                <w:lang w:val="es-ES"/>
              </w:rPr>
              <w:t>) organizada como una corporación sin fines de lucro.</w:t>
            </w:r>
          </w:p>
          <w:p w:rsidR="001D61A3" w:rsidRDefault="001D61A3" w:rsidP="001D61A3">
            <w:pPr>
              <w:rPr>
                <w:color w:val="002060"/>
                <w:sz w:val="18"/>
                <w:szCs w:val="18"/>
                <w:lang w:val="es-ES"/>
              </w:rPr>
            </w:pPr>
            <w:bookmarkStart w:id="13" w:name="_Toc452797587"/>
            <w:bookmarkStart w:id="14" w:name="_Toc453411735"/>
            <w:bookmarkStart w:id="15" w:name="_Toc453512893"/>
            <w:bookmarkStart w:id="16" w:name="_Toc453518593"/>
            <w:bookmarkStart w:id="17" w:name="_Toc455148786"/>
          </w:p>
          <w:p w:rsidR="00F1748D" w:rsidRPr="001D61A3" w:rsidRDefault="00F1748D" w:rsidP="001D61A3">
            <w:pPr>
              <w:rPr>
                <w:sz w:val="18"/>
                <w:szCs w:val="18"/>
                <w:lang w:val="es-ES"/>
              </w:rPr>
            </w:pPr>
            <w:r w:rsidRPr="001D61A3">
              <w:rPr>
                <w:color w:val="002060"/>
                <w:sz w:val="18"/>
                <w:szCs w:val="18"/>
                <w:lang w:val="es-ES"/>
              </w:rPr>
              <w:t xml:space="preserve">Modelo III: </w:t>
            </w:r>
            <w:r w:rsidRPr="001D61A3">
              <w:rPr>
                <w:sz w:val="18"/>
                <w:szCs w:val="18"/>
                <w:lang w:val="es-ES"/>
              </w:rPr>
              <w:t>Centro Médico “virtual”. Logística compartida de atención al paciente a través de una plataforma diversa de proveedores en toda la isla y los Estados Unidos.</w:t>
            </w:r>
            <w:bookmarkEnd w:id="13"/>
            <w:bookmarkEnd w:id="14"/>
            <w:bookmarkEnd w:id="15"/>
            <w:bookmarkEnd w:id="16"/>
            <w:bookmarkEnd w:id="17"/>
            <w:r w:rsidRPr="001D61A3">
              <w:rPr>
                <w:sz w:val="18"/>
                <w:szCs w:val="18"/>
                <w:lang w:val="es-ES"/>
              </w:rPr>
              <w:t xml:space="preserve"> </w:t>
            </w:r>
          </w:p>
          <w:p w:rsidR="00F1748D" w:rsidRPr="00190BD7" w:rsidRDefault="00F1748D" w:rsidP="00F44FB2">
            <w:pPr>
              <w:rPr>
                <w:rFonts w:cstheme="minorHAnsi"/>
                <w:sz w:val="18"/>
                <w:szCs w:val="18"/>
                <w:lang w:val="es-PR"/>
              </w:rPr>
            </w:pP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Función:</w:t>
            </w:r>
            <w:r w:rsidRPr="00190BD7">
              <w:rPr>
                <w:rFonts w:eastAsia="Book Antiqua" w:cstheme="minorHAnsi"/>
                <w:sz w:val="18"/>
                <w:szCs w:val="18"/>
                <w:lang w:val="es-ES"/>
              </w:rPr>
              <w:t xml:space="preserve">  Articular la logística de la disponibilidad física del componente de producción, infraestructura auxiliar, consultas, disponibilidad de cuartos, entre otros, necesarios para atención médica terciaria y supra-terciaria a través del complejo del Centro Médico y otros proveedores de salud públicos y privados alrededor de la isla, incluyendo los Estados Unidos, mediante una plataforma tecnológica facilitadora.</w:t>
            </w: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Financiamiento:</w:t>
            </w:r>
            <w:r w:rsidRPr="00190BD7">
              <w:rPr>
                <w:rFonts w:eastAsia="Book Antiqua" w:cstheme="minorHAnsi"/>
                <w:sz w:val="18"/>
                <w:szCs w:val="18"/>
                <w:lang w:val="es-ES"/>
              </w:rPr>
              <w:t xml:space="preserve"> A través planes médicos privados, Medicare y de los asegurados por el PSG, ACAA y CFSE,  los recursos económicos se ingresarían anualmente a base de un estimado de utilización, validados por actuarios independientes, distribuidos cada treinta (30) días, en un fideicomiso administrado por un consorcio de entidades financieras puertorriqueñas como cooperativas o bancos. Cada proveedor contará con una cuenta independiente dentro del fideicomiso que se nutrirá de los servicios que preste a los usuarios designados para su área. De esas cuentas, proporcionalmente a la utilización se cubrirán los costos de los servicios médicos provistos y los costos de administrar la plataforma así como los servicios que provean los hospitales del Centro Médico. Dicho fideicomiso podrá emitir deuda garantizada por los ingresos de las fuentes antes indicadas. El estado, en función del promedio del costo de utilización de servicios médicos por pacientes no asegurados, mantendrá una asignación económica equivalente a dicha ecuación. El cálculo  inicial y el subsiguiente para la asignación de los recursos económicos se basarán en el promedio de utilización por proveedor, el Centro Médico sería uno de éstos, de los pasados tres años fiscales y certificados por una firma independiente de actuarios y contadores públicos  autorizados. </w:t>
            </w:r>
          </w:p>
          <w:p w:rsidR="00F1748D" w:rsidRPr="00190BD7" w:rsidRDefault="00F1748D" w:rsidP="00F44FB2">
            <w:pPr>
              <w:jc w:val="both"/>
              <w:rPr>
                <w:rFonts w:eastAsia="Book Antiqua" w:cstheme="minorHAnsi"/>
                <w:sz w:val="18"/>
                <w:szCs w:val="18"/>
                <w:lang w:val="es-ES"/>
              </w:rPr>
            </w:pPr>
            <w:r w:rsidRPr="00190BD7">
              <w:rPr>
                <w:rFonts w:eastAsia="Book Antiqua" w:cstheme="minorHAnsi"/>
                <w:b/>
                <w:sz w:val="18"/>
                <w:szCs w:val="18"/>
                <w:lang w:val="es-ES"/>
              </w:rPr>
              <w:t>Estructura legal:</w:t>
            </w:r>
            <w:r w:rsidRPr="00190BD7">
              <w:rPr>
                <w:rFonts w:eastAsia="Book Antiqua" w:cstheme="minorHAnsi"/>
                <w:sz w:val="18"/>
                <w:szCs w:val="18"/>
                <w:lang w:val="es-ES"/>
              </w:rPr>
              <w:t xml:space="preserve"> Organización Común (</w:t>
            </w:r>
            <w:r w:rsidRPr="00190BD7">
              <w:rPr>
                <w:rFonts w:eastAsia="Book Antiqua" w:cstheme="minorHAnsi"/>
                <w:i/>
                <w:sz w:val="18"/>
                <w:szCs w:val="18"/>
                <w:lang w:val="es-ES"/>
              </w:rPr>
              <w:t>Creation of a Common Parent</w:t>
            </w:r>
            <w:r w:rsidRPr="00190BD7">
              <w:rPr>
                <w:rFonts w:eastAsia="Book Antiqua" w:cstheme="minorHAnsi"/>
                <w:sz w:val="18"/>
                <w:szCs w:val="18"/>
                <w:lang w:val="es-ES"/>
              </w:rPr>
              <w:t>) junto a Plan de Práctica Médica Dual mediante el</w:t>
            </w:r>
            <w:r w:rsidR="00F44FB2" w:rsidRPr="00190BD7">
              <w:rPr>
                <w:rFonts w:eastAsia="Book Antiqua" w:cstheme="minorHAnsi"/>
                <w:sz w:val="18"/>
                <w:szCs w:val="18"/>
                <w:lang w:val="es-ES"/>
              </w:rPr>
              <w:t xml:space="preserve"> concepto de Sociedad Limitada.</w:t>
            </w:r>
          </w:p>
        </w:tc>
      </w:tr>
      <w:tr w:rsidR="00F1748D" w:rsidRPr="00190BD7" w:rsidTr="00A54C5E">
        <w:trPr>
          <w:trHeight w:val="132"/>
        </w:trPr>
        <w:tc>
          <w:tcPr>
            <w:tcW w:w="450" w:type="dxa"/>
          </w:tcPr>
          <w:p w:rsidR="00F1748D" w:rsidRPr="00190BD7" w:rsidRDefault="00F1748D" w:rsidP="00F1748D">
            <w:pPr>
              <w:rPr>
                <w:rFonts w:cstheme="minorHAnsi"/>
                <w:sz w:val="18"/>
                <w:szCs w:val="18"/>
                <w:lang w:val="es-CL"/>
              </w:rPr>
            </w:pPr>
            <w:r w:rsidRPr="00190BD7">
              <w:rPr>
                <w:rFonts w:cstheme="minorHAnsi"/>
                <w:sz w:val="18"/>
                <w:szCs w:val="18"/>
                <w:lang w:val="es-CL"/>
              </w:rPr>
              <w:lastRenderedPageBreak/>
              <w:t>A.</w:t>
            </w:r>
          </w:p>
        </w:tc>
        <w:tc>
          <w:tcPr>
            <w:tcW w:w="1260" w:type="dxa"/>
          </w:tcPr>
          <w:p w:rsidR="00F1748D" w:rsidRPr="00324899" w:rsidRDefault="00F1748D" w:rsidP="00F1748D">
            <w:pPr>
              <w:jc w:val="both"/>
              <w:rPr>
                <w:rFonts w:cstheme="minorHAnsi"/>
                <w:sz w:val="18"/>
                <w:szCs w:val="18"/>
                <w:lang w:val="es-CL"/>
              </w:rPr>
            </w:pPr>
            <w:r w:rsidRPr="00324899">
              <w:rPr>
                <w:rFonts w:cstheme="minorHAnsi"/>
                <w:sz w:val="18"/>
                <w:szCs w:val="18"/>
                <w:lang w:val="es-CL"/>
              </w:rPr>
              <w:t>Nuevo Modelo de Acuerdo ASEM/ACAA</w:t>
            </w:r>
          </w:p>
        </w:tc>
        <w:tc>
          <w:tcPr>
            <w:tcW w:w="8370" w:type="dxa"/>
          </w:tcPr>
          <w:p w:rsidR="00F1748D" w:rsidRPr="00190BD7" w:rsidRDefault="00F1748D" w:rsidP="00F1748D">
            <w:pPr>
              <w:pStyle w:val="ListParagraph"/>
              <w:numPr>
                <w:ilvl w:val="0"/>
                <w:numId w:val="2"/>
              </w:numPr>
              <w:jc w:val="both"/>
              <w:rPr>
                <w:rFonts w:cstheme="minorHAnsi"/>
                <w:sz w:val="18"/>
                <w:szCs w:val="18"/>
                <w:lang w:val="es-CL"/>
              </w:rPr>
            </w:pPr>
            <w:r w:rsidRPr="00190BD7">
              <w:rPr>
                <w:rFonts w:cstheme="minorHAnsi"/>
                <w:sz w:val="18"/>
                <w:szCs w:val="18"/>
                <w:lang w:val="es-CL"/>
              </w:rPr>
              <w:t>Pago de 6 millones por concepto de deuda acumulada.</w:t>
            </w:r>
          </w:p>
          <w:p w:rsidR="00F1748D" w:rsidRDefault="00F1748D" w:rsidP="00F1748D">
            <w:pPr>
              <w:pStyle w:val="ListParagraph"/>
              <w:numPr>
                <w:ilvl w:val="0"/>
                <w:numId w:val="2"/>
              </w:numPr>
              <w:jc w:val="both"/>
              <w:rPr>
                <w:rFonts w:cstheme="minorHAnsi"/>
                <w:sz w:val="18"/>
                <w:szCs w:val="18"/>
                <w:lang w:val="es-CL"/>
              </w:rPr>
            </w:pPr>
            <w:r w:rsidRPr="00190BD7">
              <w:rPr>
                <w:rFonts w:cstheme="minorHAnsi"/>
                <w:sz w:val="18"/>
                <w:szCs w:val="18"/>
                <w:lang w:val="es-CL"/>
              </w:rPr>
              <w:t>Aumento de 40% en el pago fijo mensual (de $500,000 a $700,000).</w:t>
            </w:r>
          </w:p>
          <w:p w:rsidR="00A57D09" w:rsidRPr="00190BD7" w:rsidRDefault="00A57D09" w:rsidP="00F1748D">
            <w:pPr>
              <w:pStyle w:val="ListParagraph"/>
              <w:numPr>
                <w:ilvl w:val="0"/>
                <w:numId w:val="2"/>
              </w:numPr>
              <w:jc w:val="both"/>
              <w:rPr>
                <w:rFonts w:cstheme="minorHAnsi"/>
                <w:sz w:val="18"/>
                <w:szCs w:val="18"/>
                <w:lang w:val="es-CL"/>
              </w:rPr>
            </w:pPr>
            <w:r>
              <w:rPr>
                <w:rFonts w:cstheme="minorHAnsi"/>
                <w:sz w:val="18"/>
                <w:szCs w:val="18"/>
                <w:lang w:val="es-CL"/>
              </w:rPr>
              <w:t>Re-negociación, junio 2017,  en función actuarial de los costos de proveer los servicios.</w:t>
            </w:r>
          </w:p>
        </w:tc>
      </w:tr>
      <w:tr w:rsidR="00F1748D" w:rsidRPr="00190BD7" w:rsidTr="00A54C5E">
        <w:trPr>
          <w:trHeight w:val="132"/>
        </w:trPr>
        <w:tc>
          <w:tcPr>
            <w:tcW w:w="450" w:type="dxa"/>
          </w:tcPr>
          <w:p w:rsidR="00F1748D" w:rsidRPr="00190BD7" w:rsidRDefault="00F1748D" w:rsidP="00F1748D">
            <w:pPr>
              <w:rPr>
                <w:rFonts w:cstheme="minorHAnsi"/>
                <w:sz w:val="18"/>
                <w:szCs w:val="18"/>
                <w:lang w:val="es-CL"/>
              </w:rPr>
            </w:pPr>
            <w:r w:rsidRPr="00190BD7">
              <w:rPr>
                <w:rFonts w:cstheme="minorHAnsi"/>
                <w:sz w:val="18"/>
                <w:szCs w:val="18"/>
                <w:lang w:val="es-CL"/>
              </w:rPr>
              <w:t>B.</w:t>
            </w:r>
          </w:p>
        </w:tc>
        <w:tc>
          <w:tcPr>
            <w:tcW w:w="1260" w:type="dxa"/>
          </w:tcPr>
          <w:p w:rsidR="00F1748D" w:rsidRPr="00324899" w:rsidRDefault="00324899" w:rsidP="00F1748D">
            <w:pPr>
              <w:rPr>
                <w:rFonts w:cstheme="minorHAnsi"/>
                <w:sz w:val="18"/>
                <w:szCs w:val="18"/>
                <w:lang w:val="es-CL"/>
              </w:rPr>
            </w:pPr>
            <w:r>
              <w:rPr>
                <w:rFonts w:cstheme="minorHAnsi"/>
                <w:sz w:val="18"/>
                <w:szCs w:val="18"/>
                <w:lang w:val="es-CL"/>
              </w:rPr>
              <w:t>Plan de Cobros</w:t>
            </w:r>
          </w:p>
        </w:tc>
        <w:tc>
          <w:tcPr>
            <w:tcW w:w="8370" w:type="dxa"/>
          </w:tcPr>
          <w:p w:rsidR="00F1748D" w:rsidRPr="00190BD7" w:rsidRDefault="00F1748D" w:rsidP="00F1748D">
            <w:pPr>
              <w:pStyle w:val="ListParagraph"/>
              <w:numPr>
                <w:ilvl w:val="0"/>
                <w:numId w:val="3"/>
              </w:numPr>
              <w:jc w:val="both"/>
              <w:rPr>
                <w:rFonts w:cstheme="minorHAnsi"/>
                <w:sz w:val="18"/>
                <w:szCs w:val="18"/>
                <w:lang w:val="es-CL"/>
              </w:rPr>
            </w:pPr>
            <w:r w:rsidRPr="00190BD7">
              <w:rPr>
                <w:rFonts w:cstheme="minorHAnsi"/>
                <w:sz w:val="18"/>
                <w:szCs w:val="18"/>
                <w:lang w:val="es-CL"/>
              </w:rPr>
              <w:t xml:space="preserve">Aumento de 35% en el ingreso entre los años fiscales 2013-2016 por concepto del Plan de Cobros  a planes médicos. </w:t>
            </w:r>
          </w:p>
        </w:tc>
      </w:tr>
      <w:tr w:rsidR="00F1748D" w:rsidRPr="00190BD7" w:rsidTr="00A54C5E">
        <w:trPr>
          <w:trHeight w:val="132"/>
        </w:trPr>
        <w:tc>
          <w:tcPr>
            <w:tcW w:w="450" w:type="dxa"/>
          </w:tcPr>
          <w:p w:rsidR="00F1748D" w:rsidRPr="00190BD7" w:rsidRDefault="00F1748D" w:rsidP="00F1748D">
            <w:pPr>
              <w:rPr>
                <w:rFonts w:cstheme="minorHAnsi"/>
                <w:sz w:val="18"/>
                <w:szCs w:val="18"/>
                <w:lang w:val="es-CL"/>
              </w:rPr>
            </w:pPr>
            <w:r w:rsidRPr="00190BD7">
              <w:rPr>
                <w:rFonts w:cstheme="minorHAnsi"/>
                <w:sz w:val="18"/>
                <w:szCs w:val="18"/>
                <w:lang w:val="es-CL"/>
              </w:rPr>
              <w:t>C.</w:t>
            </w:r>
          </w:p>
        </w:tc>
        <w:tc>
          <w:tcPr>
            <w:tcW w:w="1260" w:type="dxa"/>
          </w:tcPr>
          <w:p w:rsidR="00F1748D" w:rsidRPr="00324899" w:rsidRDefault="00324899" w:rsidP="00F1748D">
            <w:pPr>
              <w:rPr>
                <w:rFonts w:cstheme="minorHAnsi"/>
                <w:sz w:val="18"/>
                <w:szCs w:val="18"/>
                <w:lang w:val="es-CL"/>
              </w:rPr>
            </w:pPr>
            <w:r>
              <w:rPr>
                <w:rFonts w:cstheme="minorHAnsi"/>
                <w:sz w:val="18"/>
                <w:szCs w:val="18"/>
                <w:lang w:val="es-CL"/>
              </w:rPr>
              <w:t>Subvenciones Federales</w:t>
            </w:r>
          </w:p>
        </w:tc>
        <w:tc>
          <w:tcPr>
            <w:tcW w:w="8370" w:type="dxa"/>
          </w:tcPr>
          <w:p w:rsidR="00F1748D" w:rsidRPr="00190BD7" w:rsidRDefault="00F1748D" w:rsidP="00F1748D">
            <w:pPr>
              <w:rPr>
                <w:rFonts w:cstheme="minorHAnsi"/>
                <w:i/>
                <w:sz w:val="18"/>
                <w:szCs w:val="18"/>
                <w:lang w:val="es-PR"/>
              </w:rPr>
            </w:pPr>
            <w:r w:rsidRPr="00190BD7">
              <w:rPr>
                <w:rFonts w:cstheme="minorHAnsi"/>
                <w:i/>
                <w:sz w:val="18"/>
                <w:szCs w:val="18"/>
                <w:lang w:val="es-PR"/>
              </w:rPr>
              <w:t>Auto-generación de fondos</w:t>
            </w:r>
            <w:r w:rsidRPr="00190BD7">
              <w:rPr>
                <w:rFonts w:cstheme="minorHAnsi"/>
                <w:sz w:val="18"/>
                <w:szCs w:val="18"/>
                <w:lang w:val="es-PR"/>
              </w:rPr>
              <w:t xml:space="preserve"> </w:t>
            </w:r>
            <w:r w:rsidRPr="00190BD7">
              <w:rPr>
                <w:rFonts w:cstheme="minorHAnsi"/>
                <w:i/>
                <w:sz w:val="18"/>
                <w:szCs w:val="18"/>
                <w:lang w:val="es-PR"/>
              </w:rPr>
              <w:t>y fondos externos</w:t>
            </w:r>
          </w:p>
          <w:p w:rsidR="00F1748D" w:rsidRPr="00190BD7" w:rsidRDefault="00F1748D" w:rsidP="00F1748D">
            <w:pPr>
              <w:pStyle w:val="ListParagraph"/>
              <w:numPr>
                <w:ilvl w:val="0"/>
                <w:numId w:val="9"/>
              </w:numPr>
              <w:rPr>
                <w:rFonts w:cstheme="minorHAnsi"/>
                <w:sz w:val="18"/>
                <w:szCs w:val="18"/>
                <w:lang w:val="es-PR"/>
              </w:rPr>
            </w:pPr>
            <w:r w:rsidRPr="00190BD7">
              <w:rPr>
                <w:rFonts w:cstheme="minorHAnsi"/>
                <w:sz w:val="18"/>
                <w:szCs w:val="18"/>
                <w:lang w:val="es-PR"/>
              </w:rPr>
              <w:t>Creación  la Oficina de Recursos Externos con el objetivo de solicitar fondos a fundaciones, agencias federales y realizar actividades para la obtención de donaciones. Además, se obtuvo la aprobación y acreditación para ofrecer cursos de Educación Continuada a los profesionales de la salud utilizando los propios recursos de la ASEM y obteniendo ingresos por dicho concepto.</w:t>
            </w:r>
          </w:p>
          <w:p w:rsidR="00F1748D" w:rsidRPr="00190BD7" w:rsidRDefault="00F1748D" w:rsidP="00F1748D">
            <w:pPr>
              <w:pStyle w:val="ListParagraph"/>
              <w:numPr>
                <w:ilvl w:val="0"/>
                <w:numId w:val="9"/>
              </w:numPr>
              <w:jc w:val="both"/>
              <w:rPr>
                <w:rFonts w:cstheme="minorHAnsi"/>
                <w:sz w:val="18"/>
                <w:szCs w:val="18"/>
                <w:lang w:val="es-CL"/>
              </w:rPr>
            </w:pPr>
            <w:r w:rsidRPr="00190BD7">
              <w:rPr>
                <w:rFonts w:cstheme="minorHAnsi"/>
                <w:sz w:val="18"/>
                <w:szCs w:val="18"/>
                <w:lang w:val="es-PR"/>
              </w:rPr>
              <w:t xml:space="preserve">Se establecieron las bases para ofrecimientos a entidades privadas de servicios de lavandería y alimentos así como la ampliación de aéreas para concesiones. En el primer caso ya se le brindaron servicios de lavandería a un hotel </w:t>
            </w:r>
            <w:r w:rsidR="00C079C4" w:rsidRPr="00190BD7">
              <w:rPr>
                <w:rFonts w:cstheme="minorHAnsi"/>
                <w:sz w:val="18"/>
                <w:szCs w:val="18"/>
                <w:lang w:val="es-PR"/>
              </w:rPr>
              <w:t>de</w:t>
            </w:r>
            <w:r w:rsidRPr="00190BD7">
              <w:rPr>
                <w:rFonts w:cstheme="minorHAnsi"/>
                <w:sz w:val="18"/>
                <w:szCs w:val="18"/>
                <w:lang w:val="es-PR"/>
              </w:rPr>
              <w:t xml:space="preserve"> la zona de Isla Verde. En el segundo caso, se establecieron nuevas concesiones y se </w:t>
            </w:r>
            <w:r w:rsidR="003A5AF1" w:rsidRPr="00190BD7">
              <w:rPr>
                <w:rFonts w:cstheme="minorHAnsi"/>
                <w:sz w:val="18"/>
                <w:szCs w:val="18"/>
                <w:lang w:val="es-PR"/>
              </w:rPr>
              <w:t>aumentó</w:t>
            </w:r>
            <w:r w:rsidRPr="00190BD7">
              <w:rPr>
                <w:rFonts w:cstheme="minorHAnsi"/>
                <w:sz w:val="18"/>
                <w:szCs w:val="18"/>
                <w:lang w:val="es-PR"/>
              </w:rPr>
              <w:t xml:space="preserve"> el canon de arrendamiento a otras que ya contaban con contratos.</w:t>
            </w:r>
          </w:p>
          <w:p w:rsidR="00F1748D" w:rsidRPr="00190BD7" w:rsidRDefault="00F1748D" w:rsidP="00F1748D">
            <w:pPr>
              <w:pStyle w:val="ListParagraph"/>
              <w:numPr>
                <w:ilvl w:val="0"/>
                <w:numId w:val="9"/>
              </w:numPr>
              <w:jc w:val="both"/>
              <w:rPr>
                <w:rFonts w:cstheme="minorHAnsi"/>
                <w:sz w:val="18"/>
                <w:szCs w:val="18"/>
                <w:lang w:val="es-CL"/>
              </w:rPr>
            </w:pPr>
            <w:r w:rsidRPr="00190BD7">
              <w:rPr>
                <w:rFonts w:cstheme="minorHAnsi"/>
                <w:sz w:val="18"/>
                <w:szCs w:val="18"/>
                <w:lang w:val="es-CL"/>
              </w:rPr>
              <w:t>Se obtuvieron fondos federales para lo siguiente:</w:t>
            </w:r>
          </w:p>
          <w:p w:rsidR="00F1748D" w:rsidRPr="00190BD7" w:rsidRDefault="00F1748D" w:rsidP="00F1748D">
            <w:pPr>
              <w:pStyle w:val="ListParagraph"/>
              <w:numPr>
                <w:ilvl w:val="0"/>
                <w:numId w:val="9"/>
              </w:numPr>
              <w:jc w:val="both"/>
              <w:rPr>
                <w:rFonts w:cstheme="minorHAnsi"/>
                <w:sz w:val="18"/>
                <w:szCs w:val="18"/>
                <w:lang w:val="es-CL"/>
              </w:rPr>
            </w:pPr>
            <w:r w:rsidRPr="00190BD7">
              <w:rPr>
                <w:rFonts w:cstheme="minorHAnsi"/>
                <w:sz w:val="18"/>
                <w:szCs w:val="18"/>
                <w:lang w:val="es-CL"/>
              </w:rPr>
              <w:t>Planta de Vapor: $150,000 Fuente (Bioseguridad)</w:t>
            </w:r>
          </w:p>
          <w:p w:rsidR="00F1748D" w:rsidRPr="00190BD7" w:rsidRDefault="00F1748D" w:rsidP="00F1748D">
            <w:pPr>
              <w:pStyle w:val="ListParagraph"/>
              <w:numPr>
                <w:ilvl w:val="0"/>
                <w:numId w:val="9"/>
              </w:numPr>
              <w:jc w:val="both"/>
              <w:rPr>
                <w:rFonts w:cstheme="minorHAnsi"/>
                <w:sz w:val="18"/>
                <w:szCs w:val="18"/>
                <w:lang w:val="es-CL"/>
              </w:rPr>
            </w:pPr>
            <w:r w:rsidRPr="00190BD7">
              <w:rPr>
                <w:rFonts w:cstheme="minorHAnsi"/>
                <w:sz w:val="18"/>
                <w:szCs w:val="18"/>
                <w:lang w:val="es-CL"/>
              </w:rPr>
              <w:t>Tanque de agua de “backup” para las instalaciones del Centro Medico: $750,00 (FEMA).</w:t>
            </w:r>
          </w:p>
          <w:p w:rsidR="00F1748D" w:rsidRPr="00190BD7" w:rsidRDefault="00F1748D" w:rsidP="00F1748D">
            <w:pPr>
              <w:pStyle w:val="ListParagraph"/>
              <w:numPr>
                <w:ilvl w:val="0"/>
                <w:numId w:val="9"/>
              </w:numPr>
              <w:jc w:val="both"/>
              <w:rPr>
                <w:rFonts w:cstheme="minorHAnsi"/>
                <w:sz w:val="18"/>
                <w:szCs w:val="18"/>
                <w:lang w:val="es-CL"/>
              </w:rPr>
            </w:pPr>
            <w:r w:rsidRPr="00190BD7">
              <w:rPr>
                <w:rFonts w:cstheme="minorHAnsi"/>
                <w:sz w:val="18"/>
                <w:szCs w:val="18"/>
                <w:lang w:val="es-CL"/>
              </w:rPr>
              <w:t>Planta de vapor dedicada para los equipos de esterilización de instrumentos quirúrgicos $100,00 (Bioseguridad)</w:t>
            </w:r>
          </w:p>
        </w:tc>
      </w:tr>
      <w:tr w:rsidR="00F1748D" w:rsidRPr="00190BD7" w:rsidTr="00A54C5E">
        <w:trPr>
          <w:trHeight w:val="132"/>
        </w:trPr>
        <w:tc>
          <w:tcPr>
            <w:tcW w:w="450" w:type="dxa"/>
          </w:tcPr>
          <w:p w:rsidR="00F1748D" w:rsidRPr="00190BD7" w:rsidRDefault="00F1748D" w:rsidP="00F1748D">
            <w:pPr>
              <w:rPr>
                <w:rFonts w:cstheme="minorHAnsi"/>
                <w:sz w:val="18"/>
                <w:szCs w:val="18"/>
                <w:lang w:val="es-CL"/>
              </w:rPr>
            </w:pPr>
          </w:p>
        </w:tc>
        <w:tc>
          <w:tcPr>
            <w:tcW w:w="1260" w:type="dxa"/>
          </w:tcPr>
          <w:p w:rsidR="00F1748D" w:rsidRPr="00190BD7" w:rsidRDefault="00F1748D" w:rsidP="00F1748D">
            <w:pPr>
              <w:rPr>
                <w:rFonts w:cstheme="minorHAnsi"/>
                <w:b/>
                <w:sz w:val="18"/>
                <w:szCs w:val="18"/>
                <w:lang w:val="es-CL"/>
              </w:rPr>
            </w:pPr>
          </w:p>
        </w:tc>
        <w:tc>
          <w:tcPr>
            <w:tcW w:w="8370" w:type="dxa"/>
          </w:tcPr>
          <w:p w:rsidR="00F1748D" w:rsidRPr="00190BD7" w:rsidRDefault="00F1748D" w:rsidP="00F1748D">
            <w:pPr>
              <w:pStyle w:val="ListParagraph"/>
              <w:numPr>
                <w:ilvl w:val="0"/>
                <w:numId w:val="4"/>
              </w:numPr>
              <w:jc w:val="both"/>
              <w:rPr>
                <w:rFonts w:cstheme="minorHAnsi"/>
                <w:sz w:val="18"/>
                <w:szCs w:val="18"/>
                <w:lang w:val="es-CL"/>
              </w:rPr>
            </w:pPr>
          </w:p>
        </w:tc>
      </w:tr>
      <w:tr w:rsidR="00F1748D" w:rsidRPr="00190BD7" w:rsidTr="00A54C5E">
        <w:trPr>
          <w:trHeight w:val="132"/>
        </w:trPr>
        <w:tc>
          <w:tcPr>
            <w:tcW w:w="450" w:type="dxa"/>
          </w:tcPr>
          <w:p w:rsidR="00F1748D" w:rsidRPr="00190BD7" w:rsidRDefault="00F1748D" w:rsidP="00F1748D">
            <w:pPr>
              <w:rPr>
                <w:rFonts w:cstheme="minorHAnsi"/>
                <w:sz w:val="18"/>
                <w:szCs w:val="18"/>
                <w:lang w:val="es-CL"/>
              </w:rPr>
            </w:pPr>
            <w:r w:rsidRPr="00190BD7">
              <w:rPr>
                <w:rFonts w:cstheme="minorHAnsi"/>
                <w:sz w:val="18"/>
                <w:szCs w:val="18"/>
                <w:lang w:val="es-CL"/>
              </w:rPr>
              <w:t>E.</w:t>
            </w:r>
          </w:p>
        </w:tc>
        <w:tc>
          <w:tcPr>
            <w:tcW w:w="1260" w:type="dxa"/>
          </w:tcPr>
          <w:p w:rsidR="00F1748D" w:rsidRPr="00190BD7" w:rsidRDefault="00324899" w:rsidP="00F1748D">
            <w:pPr>
              <w:rPr>
                <w:rFonts w:cstheme="minorHAnsi"/>
                <w:sz w:val="18"/>
                <w:szCs w:val="18"/>
                <w:lang w:val="es-CL"/>
              </w:rPr>
            </w:pPr>
            <w:r>
              <w:rPr>
                <w:rFonts w:cstheme="minorHAnsi"/>
                <w:sz w:val="18"/>
                <w:szCs w:val="18"/>
                <w:lang w:val="es-CL"/>
              </w:rPr>
              <w:t>Controles Fiscales</w:t>
            </w:r>
          </w:p>
        </w:tc>
        <w:tc>
          <w:tcPr>
            <w:tcW w:w="8370" w:type="dxa"/>
          </w:tcPr>
          <w:p w:rsidR="00F1748D" w:rsidRPr="00190BD7" w:rsidRDefault="00F1748D" w:rsidP="00F1748D">
            <w:pPr>
              <w:pStyle w:val="ListParagraph"/>
              <w:numPr>
                <w:ilvl w:val="0"/>
                <w:numId w:val="5"/>
              </w:numPr>
              <w:rPr>
                <w:rFonts w:cstheme="minorHAnsi"/>
                <w:sz w:val="18"/>
                <w:szCs w:val="18"/>
                <w:lang w:val="es-CL"/>
              </w:rPr>
            </w:pPr>
            <w:bookmarkStart w:id="18" w:name="OLE_LINK15"/>
            <w:r w:rsidRPr="00190BD7">
              <w:rPr>
                <w:rFonts w:cstheme="minorHAnsi"/>
                <w:sz w:val="18"/>
                <w:szCs w:val="18"/>
                <w:lang w:val="es-CL"/>
              </w:rPr>
              <w:t>Disminución del tipo utilizado por concepto de horas extras dobles y triples a 1.5. Esto, generando unas economías de 4.5 millones anuales.</w:t>
            </w:r>
          </w:p>
          <w:p w:rsidR="00F1748D" w:rsidRPr="00190BD7" w:rsidRDefault="00F1748D" w:rsidP="00F1748D">
            <w:pPr>
              <w:pStyle w:val="ListParagraph"/>
              <w:numPr>
                <w:ilvl w:val="0"/>
                <w:numId w:val="5"/>
              </w:numPr>
              <w:rPr>
                <w:rFonts w:cstheme="minorHAnsi"/>
                <w:sz w:val="18"/>
                <w:szCs w:val="18"/>
                <w:lang w:val="es-CL"/>
              </w:rPr>
            </w:pPr>
            <w:r w:rsidRPr="00190BD7">
              <w:rPr>
                <w:rFonts w:cstheme="minorHAnsi"/>
                <w:sz w:val="18"/>
                <w:szCs w:val="18"/>
                <w:lang w:val="es-CL"/>
              </w:rPr>
              <w:t>Reducción en la contratación de servicios profesionales y comprados en un 25%.</w:t>
            </w:r>
          </w:p>
          <w:p w:rsidR="00F1748D" w:rsidRPr="00190BD7" w:rsidRDefault="00F1748D" w:rsidP="00F1748D">
            <w:pPr>
              <w:pStyle w:val="ListParagraph"/>
              <w:numPr>
                <w:ilvl w:val="0"/>
                <w:numId w:val="5"/>
              </w:numPr>
              <w:rPr>
                <w:rFonts w:cstheme="minorHAnsi"/>
                <w:sz w:val="18"/>
                <w:szCs w:val="18"/>
                <w:lang w:val="es-CL"/>
              </w:rPr>
            </w:pPr>
            <w:r w:rsidRPr="00190BD7">
              <w:rPr>
                <w:rFonts w:cstheme="minorHAnsi"/>
                <w:sz w:val="18"/>
                <w:szCs w:val="18"/>
                <w:lang w:val="es-CL"/>
              </w:rPr>
              <w:t xml:space="preserve">Reducción en el gasto de nómina de empleados de confianza en un </w:t>
            </w:r>
            <w:r w:rsidRPr="00190BD7">
              <w:rPr>
                <w:rFonts w:cstheme="minorHAnsi"/>
                <w:color w:val="000000"/>
                <w:sz w:val="18"/>
                <w:szCs w:val="18"/>
                <w:lang w:val="es-PR"/>
              </w:rPr>
              <w:t xml:space="preserve">35% </w:t>
            </w:r>
          </w:p>
          <w:p w:rsidR="00F1748D" w:rsidRPr="00190BD7" w:rsidRDefault="00F1748D" w:rsidP="00F1748D">
            <w:pPr>
              <w:pStyle w:val="ListParagraph"/>
              <w:numPr>
                <w:ilvl w:val="0"/>
                <w:numId w:val="5"/>
              </w:numPr>
              <w:rPr>
                <w:rFonts w:cstheme="minorHAnsi"/>
                <w:sz w:val="18"/>
                <w:szCs w:val="18"/>
                <w:lang w:val="es-CL"/>
              </w:rPr>
            </w:pPr>
            <w:r w:rsidRPr="00190BD7">
              <w:rPr>
                <w:rFonts w:cstheme="minorHAnsi"/>
                <w:sz w:val="18"/>
                <w:szCs w:val="18"/>
                <w:lang w:val="es-CL"/>
              </w:rPr>
              <w:t>Reducción de beneficios marginales según negociado en el Convenio Colectivo con la UGT ascendente a $5.2 millones anuales.</w:t>
            </w:r>
          </w:p>
          <w:p w:rsidR="00F1748D" w:rsidRPr="00190BD7" w:rsidRDefault="00F1748D" w:rsidP="00F1748D">
            <w:pPr>
              <w:pStyle w:val="ListParagraph"/>
              <w:numPr>
                <w:ilvl w:val="0"/>
                <w:numId w:val="5"/>
              </w:numPr>
              <w:rPr>
                <w:rFonts w:cstheme="minorHAnsi"/>
                <w:sz w:val="18"/>
                <w:szCs w:val="18"/>
                <w:lang w:val="es-CL"/>
              </w:rPr>
            </w:pPr>
            <w:r w:rsidRPr="00190BD7">
              <w:rPr>
                <w:rFonts w:cstheme="minorHAnsi"/>
                <w:sz w:val="18"/>
                <w:szCs w:val="18"/>
                <w:lang w:val="es-CL"/>
              </w:rPr>
              <w:t>Revisión y/o nueva creación de CDM’s a tono con nuevos modelos operacionales y facturación institucional en el área de farmacia y control de medicamentos.</w:t>
            </w:r>
          </w:p>
          <w:p w:rsidR="00F1748D" w:rsidRPr="00190BD7" w:rsidRDefault="00F1748D" w:rsidP="00F1748D">
            <w:pPr>
              <w:pStyle w:val="ListParagraph"/>
              <w:numPr>
                <w:ilvl w:val="0"/>
                <w:numId w:val="5"/>
              </w:numPr>
              <w:rPr>
                <w:rFonts w:cstheme="minorHAnsi"/>
                <w:sz w:val="18"/>
                <w:szCs w:val="18"/>
                <w:lang w:val="es-CL"/>
              </w:rPr>
            </w:pPr>
            <w:r w:rsidRPr="00190BD7">
              <w:rPr>
                <w:rFonts w:cstheme="minorHAnsi"/>
                <w:sz w:val="18"/>
                <w:szCs w:val="18"/>
                <w:lang w:val="es-CL"/>
              </w:rPr>
              <w:t>Nuevo sistema de cobros a planes médicos, entidades participantes e instituciones consumidoras a través de la División Legal.</w:t>
            </w:r>
          </w:p>
          <w:p w:rsidR="00F1748D" w:rsidRPr="00190BD7" w:rsidRDefault="00F1748D" w:rsidP="00F1748D">
            <w:pPr>
              <w:pStyle w:val="ListParagraph"/>
              <w:numPr>
                <w:ilvl w:val="0"/>
                <w:numId w:val="5"/>
              </w:numPr>
              <w:rPr>
                <w:rFonts w:cstheme="minorHAnsi"/>
                <w:sz w:val="18"/>
                <w:szCs w:val="18"/>
                <w:lang w:val="es-CL"/>
              </w:rPr>
            </w:pPr>
            <w:r w:rsidRPr="00190BD7">
              <w:rPr>
                <w:rFonts w:cstheme="minorHAnsi"/>
                <w:sz w:val="18"/>
                <w:szCs w:val="18"/>
                <w:lang w:val="es-CL"/>
              </w:rPr>
              <w:t>Nuevo Modelo de Contratación con planes médicos basado en utilización y/o pagos fijos o anticipos mensuales.</w:t>
            </w:r>
          </w:p>
          <w:p w:rsidR="00F1748D" w:rsidRPr="00190BD7" w:rsidRDefault="00F1748D" w:rsidP="00F44FB2">
            <w:pPr>
              <w:pStyle w:val="ListParagraph"/>
              <w:numPr>
                <w:ilvl w:val="0"/>
                <w:numId w:val="5"/>
              </w:numPr>
              <w:rPr>
                <w:rFonts w:cstheme="minorHAnsi"/>
                <w:sz w:val="18"/>
                <w:szCs w:val="18"/>
                <w:lang w:val="es-CL"/>
              </w:rPr>
            </w:pPr>
            <w:r w:rsidRPr="00190BD7">
              <w:rPr>
                <w:rFonts w:cstheme="minorHAnsi"/>
                <w:sz w:val="18"/>
                <w:szCs w:val="18"/>
                <w:lang w:val="es-CL"/>
              </w:rPr>
              <w:t>Reuniones bi-semanales con personal de ASEM, BGF y OGP dirigidas a discutir asuntos fiscales y estratégicos de la ASEM.</w:t>
            </w:r>
          </w:p>
          <w:p w:rsidR="00F1748D" w:rsidRPr="00190BD7" w:rsidRDefault="00F1748D" w:rsidP="00F1748D">
            <w:pPr>
              <w:pStyle w:val="ListParagraph"/>
              <w:numPr>
                <w:ilvl w:val="0"/>
                <w:numId w:val="5"/>
              </w:numPr>
              <w:rPr>
                <w:rFonts w:cstheme="minorHAnsi"/>
                <w:sz w:val="18"/>
                <w:szCs w:val="18"/>
                <w:lang w:val="es-CL"/>
              </w:rPr>
            </w:pPr>
            <w:r w:rsidRPr="00190BD7">
              <w:rPr>
                <w:rFonts w:cstheme="minorHAnsi"/>
                <w:sz w:val="18"/>
                <w:szCs w:val="18"/>
                <w:lang w:val="es-CL"/>
              </w:rPr>
              <w:t>Evaluación de posibles alternativas para subvencionar los servicios de salud prestados a la población médico-indigente; en particular, los que carecen de ciudadanía estadounidense.</w:t>
            </w:r>
            <w:bookmarkEnd w:id="18"/>
          </w:p>
        </w:tc>
      </w:tr>
      <w:tr w:rsidR="00F1748D" w:rsidRPr="00190BD7" w:rsidTr="00A54C5E">
        <w:tblPrEx>
          <w:tblCellMar>
            <w:left w:w="70" w:type="dxa"/>
            <w:right w:w="70" w:type="dxa"/>
          </w:tblCellMar>
        </w:tblPrEx>
        <w:trPr>
          <w:trHeight w:val="132"/>
        </w:trPr>
        <w:tc>
          <w:tcPr>
            <w:tcW w:w="450" w:type="dxa"/>
          </w:tcPr>
          <w:p w:rsidR="00F1748D" w:rsidRPr="00A54C5E" w:rsidRDefault="00F1748D" w:rsidP="00F1748D">
            <w:pPr>
              <w:rPr>
                <w:rFonts w:cstheme="minorHAnsi"/>
                <w:sz w:val="18"/>
                <w:szCs w:val="18"/>
                <w:lang w:val="es-CL"/>
              </w:rPr>
            </w:pPr>
            <w:r w:rsidRPr="00A54C5E">
              <w:rPr>
                <w:rFonts w:cstheme="minorHAnsi"/>
                <w:sz w:val="18"/>
                <w:szCs w:val="18"/>
                <w:lang w:val="es-CL"/>
              </w:rPr>
              <w:t>II</w:t>
            </w:r>
          </w:p>
        </w:tc>
        <w:tc>
          <w:tcPr>
            <w:tcW w:w="1260" w:type="dxa"/>
          </w:tcPr>
          <w:p w:rsidR="00F1748D" w:rsidRPr="00190BD7" w:rsidRDefault="00324899" w:rsidP="00F1748D">
            <w:pPr>
              <w:rPr>
                <w:rFonts w:cstheme="minorHAnsi"/>
                <w:sz w:val="18"/>
                <w:szCs w:val="18"/>
                <w:lang w:val="es-CL"/>
              </w:rPr>
            </w:pPr>
            <w:r>
              <w:rPr>
                <w:rFonts w:cstheme="minorHAnsi"/>
                <w:sz w:val="18"/>
                <w:szCs w:val="18"/>
                <w:lang w:val="es-CL"/>
              </w:rPr>
              <w:t>Resultados Financieros</w:t>
            </w:r>
          </w:p>
        </w:tc>
        <w:tc>
          <w:tcPr>
            <w:tcW w:w="8370" w:type="dxa"/>
          </w:tcPr>
          <w:p w:rsidR="00F1748D" w:rsidRPr="00190BD7" w:rsidRDefault="00685C5D" w:rsidP="00F1748D">
            <w:pPr>
              <w:rPr>
                <w:rFonts w:cstheme="minorHAnsi"/>
                <w:sz w:val="18"/>
                <w:szCs w:val="18"/>
                <w:lang w:val="es-CL"/>
              </w:rPr>
            </w:pPr>
            <w:r w:rsidRPr="00190BD7">
              <w:rPr>
                <w:rFonts w:cstheme="minorHAnsi"/>
                <w:noProof/>
                <w:sz w:val="18"/>
                <w:szCs w:val="18"/>
                <w:lang w:eastAsia="es-PR"/>
              </w:rPr>
              <w:drawing>
                <wp:inline distT="0" distB="0" distL="0" distR="0" wp14:anchorId="7736DB68" wp14:editId="0E8C134E">
                  <wp:extent cx="5281575" cy="2377440"/>
                  <wp:effectExtent l="0" t="0" r="1460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5C5D" w:rsidRPr="00190BD7" w:rsidRDefault="00685C5D" w:rsidP="00F1748D">
            <w:pPr>
              <w:rPr>
                <w:rFonts w:cstheme="minorHAnsi"/>
                <w:sz w:val="18"/>
                <w:szCs w:val="18"/>
                <w:lang w:val="es-CL"/>
              </w:rPr>
            </w:pPr>
            <w:r w:rsidRPr="00190BD7">
              <w:rPr>
                <w:rFonts w:cstheme="minorHAnsi"/>
                <w:sz w:val="18"/>
                <w:szCs w:val="18"/>
                <w:lang w:val="es-CL"/>
              </w:rPr>
              <w:t xml:space="preserve">Como resultado, se logró </w:t>
            </w:r>
            <w:r w:rsidRPr="00190BD7">
              <w:rPr>
                <w:rFonts w:cstheme="minorHAnsi"/>
                <w:b/>
                <w:sz w:val="18"/>
                <w:szCs w:val="18"/>
                <w:lang w:val="es-CL"/>
              </w:rPr>
              <w:t>una reducción de sobre 33 millones de dólares</w:t>
            </w:r>
            <w:r w:rsidRPr="00190BD7">
              <w:rPr>
                <w:rFonts w:cstheme="minorHAnsi"/>
                <w:sz w:val="18"/>
                <w:szCs w:val="18"/>
                <w:lang w:val="es-CL"/>
              </w:rPr>
              <w:t xml:space="preserve"> en los pasados tres años fiscales.</w:t>
            </w:r>
          </w:p>
        </w:tc>
      </w:tr>
      <w:tr w:rsidR="00F1748D" w:rsidRPr="00190BD7" w:rsidTr="00A54C5E">
        <w:trPr>
          <w:trHeight w:val="132"/>
        </w:trPr>
        <w:tc>
          <w:tcPr>
            <w:tcW w:w="450" w:type="dxa"/>
          </w:tcPr>
          <w:p w:rsidR="00F1748D" w:rsidRPr="00A54C5E" w:rsidRDefault="00F1748D" w:rsidP="00F1748D">
            <w:pPr>
              <w:rPr>
                <w:rFonts w:cstheme="minorHAnsi"/>
                <w:sz w:val="18"/>
                <w:szCs w:val="18"/>
                <w:lang w:val="es-CL"/>
              </w:rPr>
            </w:pPr>
            <w:r w:rsidRPr="00A54C5E">
              <w:rPr>
                <w:rFonts w:cstheme="minorHAnsi"/>
                <w:sz w:val="18"/>
                <w:szCs w:val="18"/>
                <w:lang w:val="es-CL"/>
              </w:rPr>
              <w:t>III</w:t>
            </w:r>
          </w:p>
        </w:tc>
        <w:tc>
          <w:tcPr>
            <w:tcW w:w="1260" w:type="dxa"/>
          </w:tcPr>
          <w:p w:rsidR="00F1748D" w:rsidRPr="00324899" w:rsidRDefault="00324899" w:rsidP="00F1748D">
            <w:pPr>
              <w:rPr>
                <w:rFonts w:cstheme="minorHAnsi"/>
                <w:sz w:val="18"/>
                <w:szCs w:val="18"/>
                <w:lang w:val="es-CL"/>
              </w:rPr>
            </w:pPr>
            <w:r>
              <w:rPr>
                <w:rFonts w:cstheme="minorHAnsi"/>
                <w:sz w:val="18"/>
                <w:szCs w:val="18"/>
                <w:lang w:val="es-CL"/>
              </w:rPr>
              <w:t>Capital Humano</w:t>
            </w:r>
          </w:p>
        </w:tc>
        <w:tc>
          <w:tcPr>
            <w:tcW w:w="8370" w:type="dxa"/>
          </w:tcPr>
          <w:p w:rsidR="00F1748D" w:rsidRPr="00190BD7" w:rsidRDefault="00F1748D" w:rsidP="00F1748D">
            <w:pPr>
              <w:pStyle w:val="ListParagraph"/>
              <w:numPr>
                <w:ilvl w:val="0"/>
                <w:numId w:val="6"/>
              </w:numPr>
              <w:rPr>
                <w:rFonts w:cstheme="minorHAnsi"/>
                <w:sz w:val="18"/>
                <w:szCs w:val="18"/>
                <w:lang w:val="es-CL"/>
              </w:rPr>
            </w:pPr>
            <w:bookmarkStart w:id="19" w:name="OLE_LINK17"/>
            <w:r w:rsidRPr="00190BD7">
              <w:rPr>
                <w:rFonts w:cstheme="minorHAnsi"/>
                <w:sz w:val="18"/>
                <w:szCs w:val="18"/>
                <w:lang w:val="es-CL"/>
              </w:rPr>
              <w:t xml:space="preserve">Culminación del proceso de negociación con la UGT y la Asociación de Gerenciales para el cumplimiento de la Ley de Sostenibilidad Fiscal sin afectar la prestación de servicios a los pacientes. Esto, con un </w:t>
            </w:r>
            <w:r w:rsidR="00F44FB2" w:rsidRPr="00190BD7">
              <w:rPr>
                <w:rFonts w:cstheme="minorHAnsi"/>
                <w:b/>
                <w:sz w:val="18"/>
                <w:szCs w:val="18"/>
                <w:lang w:val="es-CL"/>
              </w:rPr>
              <w:t>ahorro de $28</w:t>
            </w:r>
            <w:r w:rsidRPr="00190BD7">
              <w:rPr>
                <w:rFonts w:cstheme="minorHAnsi"/>
                <w:b/>
                <w:sz w:val="18"/>
                <w:szCs w:val="18"/>
                <w:lang w:val="es-CL"/>
              </w:rPr>
              <w:t xml:space="preserve"> millones</w:t>
            </w:r>
            <w:r w:rsidRPr="00190BD7">
              <w:rPr>
                <w:rFonts w:cstheme="minorHAnsi"/>
                <w:sz w:val="18"/>
                <w:szCs w:val="18"/>
                <w:lang w:val="es-CL"/>
              </w:rPr>
              <w:t xml:space="preserve"> </w:t>
            </w:r>
            <w:r w:rsidRPr="00190BD7">
              <w:rPr>
                <w:rFonts w:cstheme="minorHAnsi"/>
                <w:b/>
                <w:sz w:val="18"/>
                <w:szCs w:val="18"/>
                <w:lang w:val="es-CL"/>
              </w:rPr>
              <w:t>al 2016</w:t>
            </w:r>
            <w:r w:rsidRPr="00190BD7">
              <w:rPr>
                <w:rFonts w:cstheme="minorHAnsi"/>
                <w:sz w:val="18"/>
                <w:szCs w:val="18"/>
                <w:lang w:val="es-CL"/>
              </w:rPr>
              <w:t>.</w:t>
            </w:r>
          </w:p>
          <w:p w:rsidR="00F1748D" w:rsidRPr="00190BD7" w:rsidRDefault="00F1748D" w:rsidP="00F1748D">
            <w:pPr>
              <w:pStyle w:val="ListParagraph"/>
              <w:numPr>
                <w:ilvl w:val="0"/>
                <w:numId w:val="6"/>
              </w:numPr>
              <w:rPr>
                <w:rFonts w:cstheme="minorHAnsi"/>
                <w:sz w:val="18"/>
                <w:szCs w:val="18"/>
                <w:lang w:val="es-CL"/>
              </w:rPr>
            </w:pPr>
            <w:r w:rsidRPr="00190BD7">
              <w:rPr>
                <w:rFonts w:cstheme="minorHAnsi"/>
                <w:sz w:val="18"/>
                <w:szCs w:val="18"/>
                <w:lang w:val="es-CL"/>
              </w:rPr>
              <w:lastRenderedPageBreak/>
              <w:t>Reclutamiento de sobre 150 profesionales de la salud; en particular, en el campo de enfermería y la medicina.</w:t>
            </w:r>
            <w:bookmarkEnd w:id="19"/>
          </w:p>
        </w:tc>
      </w:tr>
      <w:tr w:rsidR="00F1748D" w:rsidRPr="00190BD7" w:rsidTr="00A54C5E">
        <w:trPr>
          <w:trHeight w:val="132"/>
        </w:trPr>
        <w:tc>
          <w:tcPr>
            <w:tcW w:w="450" w:type="dxa"/>
          </w:tcPr>
          <w:p w:rsidR="00F1748D" w:rsidRPr="00A54C5E" w:rsidRDefault="00F1748D" w:rsidP="00F1748D">
            <w:pPr>
              <w:rPr>
                <w:rFonts w:cstheme="minorHAnsi"/>
                <w:sz w:val="18"/>
                <w:szCs w:val="18"/>
                <w:lang w:val="es-CL"/>
              </w:rPr>
            </w:pPr>
            <w:r w:rsidRPr="00A54C5E">
              <w:rPr>
                <w:rFonts w:cstheme="minorHAnsi"/>
                <w:sz w:val="18"/>
                <w:szCs w:val="18"/>
                <w:lang w:val="es-CL"/>
              </w:rPr>
              <w:lastRenderedPageBreak/>
              <w:t>IV</w:t>
            </w:r>
          </w:p>
        </w:tc>
        <w:tc>
          <w:tcPr>
            <w:tcW w:w="1260" w:type="dxa"/>
          </w:tcPr>
          <w:p w:rsidR="00F1748D" w:rsidRPr="00A54C5E" w:rsidRDefault="00A54C5E" w:rsidP="00F1748D">
            <w:pPr>
              <w:rPr>
                <w:rFonts w:cstheme="minorHAnsi"/>
                <w:sz w:val="18"/>
                <w:szCs w:val="18"/>
                <w:lang w:val="es-CL"/>
              </w:rPr>
            </w:pPr>
            <w:r>
              <w:rPr>
                <w:rFonts w:cstheme="minorHAnsi"/>
                <w:sz w:val="18"/>
                <w:szCs w:val="18"/>
                <w:lang w:val="es-CL"/>
              </w:rPr>
              <w:t>Servicios Médicos</w:t>
            </w:r>
          </w:p>
        </w:tc>
        <w:tc>
          <w:tcPr>
            <w:tcW w:w="8370" w:type="dxa"/>
          </w:tcPr>
          <w:p w:rsidR="00F1748D" w:rsidRPr="00190BD7" w:rsidRDefault="00F1748D" w:rsidP="00F1748D">
            <w:pPr>
              <w:pStyle w:val="ListParagraph"/>
              <w:numPr>
                <w:ilvl w:val="0"/>
                <w:numId w:val="7"/>
              </w:numPr>
              <w:rPr>
                <w:rFonts w:cstheme="minorHAnsi"/>
                <w:sz w:val="18"/>
                <w:szCs w:val="18"/>
                <w:lang w:val="es-CL"/>
              </w:rPr>
            </w:pPr>
            <w:bookmarkStart w:id="20" w:name="OLE_LINK18"/>
            <w:r w:rsidRPr="00190BD7">
              <w:rPr>
                <w:rFonts w:cstheme="minorHAnsi"/>
                <w:sz w:val="18"/>
                <w:szCs w:val="18"/>
                <w:lang w:val="es-CL"/>
              </w:rPr>
              <w:t>Construcción de cuarto de aislamiento en cumplimiento conforme a los estándares y requisitos del CDC de Atlanta.</w:t>
            </w:r>
          </w:p>
          <w:p w:rsidR="00F1748D" w:rsidRPr="00190BD7" w:rsidRDefault="00F1748D" w:rsidP="00F1748D">
            <w:pPr>
              <w:pStyle w:val="ListParagraph"/>
              <w:numPr>
                <w:ilvl w:val="0"/>
                <w:numId w:val="7"/>
              </w:numPr>
              <w:rPr>
                <w:rFonts w:cstheme="minorHAnsi"/>
                <w:sz w:val="18"/>
                <w:szCs w:val="18"/>
                <w:lang w:val="es-CL"/>
              </w:rPr>
            </w:pPr>
            <w:r w:rsidRPr="00190BD7">
              <w:rPr>
                <w:rFonts w:cstheme="minorHAnsi"/>
                <w:sz w:val="18"/>
                <w:szCs w:val="18"/>
                <w:lang w:val="es-CL"/>
              </w:rPr>
              <w:t>Capacitación a todo el personal de servicio directo al paciente que prestarían atención médica a todo paciente de Ébola y Zika en el Centro Médico.</w:t>
            </w:r>
          </w:p>
          <w:p w:rsidR="00F1748D" w:rsidRPr="00190BD7" w:rsidRDefault="00F1748D" w:rsidP="00F1748D">
            <w:pPr>
              <w:pStyle w:val="ListParagraph"/>
              <w:numPr>
                <w:ilvl w:val="0"/>
                <w:numId w:val="7"/>
              </w:numPr>
              <w:rPr>
                <w:rFonts w:cstheme="minorHAnsi"/>
                <w:sz w:val="18"/>
                <w:szCs w:val="18"/>
                <w:lang w:val="es-CL"/>
              </w:rPr>
            </w:pPr>
            <w:r w:rsidRPr="00190BD7">
              <w:rPr>
                <w:rFonts w:cstheme="minorHAnsi"/>
                <w:sz w:val="18"/>
                <w:szCs w:val="18"/>
                <w:lang w:val="es-CL"/>
              </w:rPr>
              <w:t>Debido al retiro parcial de la Cruz Roja en PR, el Banco de Sangre del Centro Médico logró cumplir con el 100% de los abastos requeridos por las entidades participantes.</w:t>
            </w:r>
          </w:p>
          <w:p w:rsidR="00F1748D" w:rsidRPr="00190BD7" w:rsidRDefault="00F1748D" w:rsidP="00F1748D">
            <w:pPr>
              <w:pStyle w:val="ListParagraph"/>
              <w:numPr>
                <w:ilvl w:val="0"/>
                <w:numId w:val="7"/>
              </w:numPr>
              <w:rPr>
                <w:rFonts w:cstheme="minorHAnsi"/>
                <w:sz w:val="18"/>
                <w:szCs w:val="18"/>
                <w:lang w:val="es-CL"/>
              </w:rPr>
            </w:pPr>
            <w:r w:rsidRPr="00190BD7">
              <w:rPr>
                <w:rFonts w:cstheme="minorHAnsi"/>
                <w:sz w:val="18"/>
                <w:szCs w:val="18"/>
                <w:lang w:val="es-CL"/>
              </w:rPr>
              <w:t>Se proveyó facultad médica, medicamentos y materiales médico quirúrgicos a sobre siete (7) Centros de Diagnóstico y Tratamiento (CDT’s) que dejaron de operar a través de la isla.</w:t>
            </w:r>
          </w:p>
          <w:p w:rsidR="00F1748D" w:rsidRPr="00190BD7" w:rsidRDefault="00F1748D" w:rsidP="00F1748D">
            <w:pPr>
              <w:pStyle w:val="ListParagraph"/>
              <w:numPr>
                <w:ilvl w:val="0"/>
                <w:numId w:val="7"/>
              </w:numPr>
              <w:rPr>
                <w:rFonts w:cstheme="minorHAnsi"/>
                <w:sz w:val="18"/>
                <w:szCs w:val="18"/>
                <w:lang w:val="es-CL"/>
              </w:rPr>
            </w:pPr>
            <w:r w:rsidRPr="00190BD7">
              <w:rPr>
                <w:rFonts w:cstheme="minorHAnsi"/>
                <w:sz w:val="18"/>
                <w:szCs w:val="18"/>
                <w:lang w:val="es-CL"/>
              </w:rPr>
              <w:t>Se logró prestar servicios de Medicina de Campo a todas las actividades multitudinarias auspiciadas por la oficina del gobernador, Municipio de San Juan, Asamblea Legislativa y la Liga Atlética Universitaria.</w:t>
            </w:r>
          </w:p>
          <w:p w:rsidR="00F1748D" w:rsidRPr="00190BD7" w:rsidRDefault="00F1748D" w:rsidP="00F1748D">
            <w:pPr>
              <w:pStyle w:val="ListParagraph"/>
              <w:numPr>
                <w:ilvl w:val="0"/>
                <w:numId w:val="7"/>
              </w:numPr>
              <w:rPr>
                <w:rFonts w:cstheme="minorHAnsi"/>
                <w:sz w:val="18"/>
                <w:szCs w:val="18"/>
                <w:lang w:val="es-CL"/>
              </w:rPr>
            </w:pPr>
            <w:r w:rsidRPr="00190BD7">
              <w:rPr>
                <w:rFonts w:cstheme="minorHAnsi"/>
                <w:sz w:val="18"/>
                <w:szCs w:val="18"/>
                <w:lang w:val="es-CL"/>
              </w:rPr>
              <w:t xml:space="preserve">Transformación operacional en el área de farmacia a los fines de aumentar la eficiencia en el proceso de control, despacho y suministro de medicamentos a través de la tecnología (máquinas pyxies). </w:t>
            </w:r>
            <w:bookmarkEnd w:id="20"/>
          </w:p>
        </w:tc>
      </w:tr>
      <w:tr w:rsidR="00F1748D" w:rsidRPr="00190BD7" w:rsidTr="00A54C5E">
        <w:trPr>
          <w:trHeight w:val="132"/>
        </w:trPr>
        <w:tc>
          <w:tcPr>
            <w:tcW w:w="450" w:type="dxa"/>
          </w:tcPr>
          <w:p w:rsidR="00F1748D" w:rsidRPr="00A54C5E" w:rsidRDefault="00F1748D" w:rsidP="00F1748D">
            <w:pPr>
              <w:rPr>
                <w:rFonts w:cstheme="minorHAnsi"/>
                <w:sz w:val="18"/>
                <w:szCs w:val="18"/>
                <w:lang w:val="es-CL"/>
              </w:rPr>
            </w:pPr>
            <w:r w:rsidRPr="00A54C5E">
              <w:rPr>
                <w:rFonts w:cstheme="minorHAnsi"/>
                <w:sz w:val="18"/>
                <w:szCs w:val="18"/>
                <w:lang w:val="es-CL"/>
              </w:rPr>
              <w:t>V</w:t>
            </w:r>
          </w:p>
        </w:tc>
        <w:tc>
          <w:tcPr>
            <w:tcW w:w="1260" w:type="dxa"/>
          </w:tcPr>
          <w:p w:rsidR="00A54C5E" w:rsidRDefault="00A54C5E" w:rsidP="00F1748D">
            <w:pPr>
              <w:rPr>
                <w:rFonts w:cstheme="minorHAnsi"/>
                <w:sz w:val="18"/>
                <w:szCs w:val="18"/>
                <w:lang w:val="es-CL"/>
              </w:rPr>
            </w:pPr>
            <w:r>
              <w:rPr>
                <w:rFonts w:cstheme="minorHAnsi"/>
                <w:sz w:val="18"/>
                <w:szCs w:val="18"/>
                <w:lang w:val="es-CL"/>
              </w:rPr>
              <w:t>Infraestruc-</w:t>
            </w:r>
          </w:p>
          <w:p w:rsidR="00F1748D" w:rsidRPr="00A54C5E" w:rsidRDefault="00A54C5E" w:rsidP="00F1748D">
            <w:pPr>
              <w:rPr>
                <w:rFonts w:cstheme="minorHAnsi"/>
                <w:sz w:val="18"/>
                <w:szCs w:val="18"/>
                <w:lang w:val="es-CL"/>
              </w:rPr>
            </w:pPr>
            <w:r>
              <w:rPr>
                <w:rFonts w:cstheme="minorHAnsi"/>
                <w:sz w:val="18"/>
                <w:szCs w:val="18"/>
                <w:lang w:val="es-CL"/>
              </w:rPr>
              <w:t>tura Física</w:t>
            </w:r>
          </w:p>
        </w:tc>
        <w:tc>
          <w:tcPr>
            <w:tcW w:w="8370" w:type="dxa"/>
          </w:tcPr>
          <w:p w:rsidR="00F1748D" w:rsidRPr="00190BD7" w:rsidRDefault="00F1748D" w:rsidP="00F1748D">
            <w:pPr>
              <w:pStyle w:val="ListParagraph"/>
              <w:numPr>
                <w:ilvl w:val="0"/>
                <w:numId w:val="8"/>
              </w:numPr>
              <w:rPr>
                <w:rFonts w:cstheme="minorHAnsi"/>
                <w:sz w:val="18"/>
                <w:szCs w:val="18"/>
                <w:lang w:val="es-CL"/>
              </w:rPr>
            </w:pPr>
            <w:bookmarkStart w:id="21" w:name="OLE_LINK19"/>
            <w:r w:rsidRPr="00190BD7">
              <w:rPr>
                <w:rFonts w:cstheme="minorHAnsi"/>
                <w:sz w:val="18"/>
                <w:szCs w:val="18"/>
                <w:lang w:val="es-CL"/>
              </w:rPr>
              <w:t>Inauguración de las Clínicas Externas – Diciembre 2014 – Inversión = $7.9 millones.</w:t>
            </w:r>
          </w:p>
          <w:p w:rsidR="00F1748D" w:rsidRPr="00190BD7" w:rsidRDefault="00F1748D" w:rsidP="00F1748D">
            <w:pPr>
              <w:pStyle w:val="ListParagraph"/>
              <w:numPr>
                <w:ilvl w:val="0"/>
                <w:numId w:val="8"/>
              </w:numPr>
              <w:rPr>
                <w:rFonts w:cstheme="minorHAnsi"/>
                <w:sz w:val="18"/>
                <w:szCs w:val="18"/>
                <w:lang w:val="es-CL"/>
              </w:rPr>
            </w:pPr>
            <w:r w:rsidRPr="00190BD7">
              <w:rPr>
                <w:rFonts w:cstheme="minorHAnsi"/>
                <w:sz w:val="18"/>
                <w:szCs w:val="18"/>
                <w:lang w:val="es-CL"/>
              </w:rPr>
              <w:t>Inauguración de la nueva Sala de Espera y Capilla para familiares de pacientes en sala de operaciones – Noviembre 2014- Inversión = $700,000.</w:t>
            </w:r>
          </w:p>
          <w:p w:rsidR="00F1748D" w:rsidRPr="00190BD7" w:rsidRDefault="00F1748D" w:rsidP="00F1748D">
            <w:pPr>
              <w:pStyle w:val="ListParagraph"/>
              <w:numPr>
                <w:ilvl w:val="0"/>
                <w:numId w:val="8"/>
              </w:numPr>
              <w:rPr>
                <w:rFonts w:cstheme="minorHAnsi"/>
                <w:sz w:val="18"/>
                <w:szCs w:val="18"/>
                <w:lang w:val="es-CL"/>
              </w:rPr>
            </w:pPr>
            <w:r w:rsidRPr="00190BD7">
              <w:rPr>
                <w:rFonts w:cstheme="minorHAnsi"/>
                <w:sz w:val="18"/>
                <w:szCs w:val="18"/>
                <w:lang w:val="es-CL"/>
              </w:rPr>
              <w:t>Instalación del nuevo sistema de enfriamiento (“chillers”) a los fines de proveer la infraestructura y temperaturas requeridas para la prestación de servicios médicos y quirúrgicos – Inversión = $900,000.</w:t>
            </w:r>
            <w:bookmarkEnd w:id="21"/>
            <w:r w:rsidRPr="00190BD7">
              <w:rPr>
                <w:rFonts w:cstheme="minorHAnsi"/>
                <w:sz w:val="18"/>
                <w:szCs w:val="18"/>
                <w:lang w:val="es-CL"/>
              </w:rPr>
              <w:t xml:space="preserve"> Reconfiguración y adquisición de nuevo equipo para el sistema de la planta de vapor.</w:t>
            </w:r>
          </w:p>
          <w:p w:rsidR="00F1748D" w:rsidRPr="00190BD7" w:rsidRDefault="00F1748D" w:rsidP="00F1748D">
            <w:pPr>
              <w:pStyle w:val="ListParagraph"/>
              <w:numPr>
                <w:ilvl w:val="0"/>
                <w:numId w:val="8"/>
              </w:numPr>
              <w:jc w:val="both"/>
              <w:rPr>
                <w:rFonts w:cstheme="minorHAnsi"/>
                <w:sz w:val="18"/>
                <w:szCs w:val="18"/>
                <w:lang w:val="es-CL"/>
              </w:rPr>
            </w:pPr>
            <w:r w:rsidRPr="00190BD7">
              <w:rPr>
                <w:rFonts w:cstheme="minorHAnsi"/>
                <w:sz w:val="18"/>
                <w:szCs w:val="18"/>
                <w:lang w:val="es-CL"/>
              </w:rPr>
              <w:t xml:space="preserve">Reconfiguración y adquisición de nuevo equipo para el sistema de la planta de vapor tanto a nivel central como en el </w:t>
            </w:r>
            <w:r w:rsidR="00C079C4" w:rsidRPr="00190BD7">
              <w:rPr>
                <w:rFonts w:cstheme="minorHAnsi"/>
                <w:sz w:val="18"/>
                <w:szCs w:val="18"/>
                <w:lang w:val="es-CL"/>
              </w:rPr>
              <w:t>área.</w:t>
            </w:r>
          </w:p>
          <w:p w:rsidR="00F1748D" w:rsidRPr="00190BD7" w:rsidRDefault="00F1748D" w:rsidP="00F1748D">
            <w:pPr>
              <w:pStyle w:val="ListParagraph"/>
              <w:numPr>
                <w:ilvl w:val="0"/>
                <w:numId w:val="8"/>
              </w:numPr>
              <w:rPr>
                <w:rFonts w:cstheme="minorHAnsi"/>
                <w:sz w:val="18"/>
                <w:szCs w:val="18"/>
                <w:lang w:val="es-CL"/>
              </w:rPr>
            </w:pPr>
          </w:p>
        </w:tc>
      </w:tr>
      <w:tr w:rsidR="00F1748D" w:rsidRPr="00190BD7" w:rsidTr="00A54C5E">
        <w:trPr>
          <w:trHeight w:val="132"/>
        </w:trPr>
        <w:tc>
          <w:tcPr>
            <w:tcW w:w="450" w:type="dxa"/>
          </w:tcPr>
          <w:p w:rsidR="00F1748D" w:rsidRPr="00A54C5E" w:rsidRDefault="00F1748D" w:rsidP="00F1748D">
            <w:pPr>
              <w:rPr>
                <w:rFonts w:cstheme="minorHAnsi"/>
                <w:sz w:val="18"/>
                <w:szCs w:val="18"/>
                <w:lang w:val="es-CL"/>
              </w:rPr>
            </w:pPr>
            <w:r w:rsidRPr="00A54C5E">
              <w:rPr>
                <w:rFonts w:cstheme="minorHAnsi"/>
                <w:sz w:val="18"/>
                <w:szCs w:val="18"/>
                <w:lang w:val="es-CL"/>
              </w:rPr>
              <w:t>VI</w:t>
            </w:r>
          </w:p>
        </w:tc>
        <w:tc>
          <w:tcPr>
            <w:tcW w:w="1260" w:type="dxa"/>
          </w:tcPr>
          <w:p w:rsidR="00F1748D" w:rsidRPr="00A54C5E" w:rsidRDefault="00A54C5E" w:rsidP="00F1748D">
            <w:pPr>
              <w:rPr>
                <w:rFonts w:cstheme="minorHAnsi"/>
                <w:sz w:val="18"/>
                <w:szCs w:val="18"/>
                <w:lang w:val="es-CL"/>
              </w:rPr>
            </w:pPr>
            <w:r>
              <w:rPr>
                <w:rFonts w:cstheme="minorHAnsi"/>
                <w:sz w:val="18"/>
                <w:szCs w:val="18"/>
                <w:lang w:val="es-CL"/>
              </w:rPr>
              <w:t>Sistemas de Información</w:t>
            </w:r>
          </w:p>
        </w:tc>
        <w:tc>
          <w:tcPr>
            <w:tcW w:w="8370" w:type="dxa"/>
          </w:tcPr>
          <w:p w:rsidR="00F1748D" w:rsidRPr="00190BD7" w:rsidRDefault="00F1748D" w:rsidP="00F1748D">
            <w:pPr>
              <w:pStyle w:val="ListParagraph"/>
              <w:numPr>
                <w:ilvl w:val="0"/>
                <w:numId w:val="10"/>
              </w:numPr>
              <w:rPr>
                <w:rFonts w:cstheme="minorHAnsi"/>
                <w:sz w:val="18"/>
                <w:szCs w:val="18"/>
                <w:lang w:val="es-CL"/>
              </w:rPr>
            </w:pPr>
            <w:r w:rsidRPr="00190BD7">
              <w:rPr>
                <w:rFonts w:cstheme="minorHAnsi"/>
                <w:sz w:val="18"/>
                <w:szCs w:val="18"/>
                <w:lang w:val="es-CL"/>
              </w:rPr>
              <w:t xml:space="preserve">Se adquirieron todos los módulos correspondientes a los fines de cumplir con los requisitos del Record Médico Electrónico y el ICD-10 y se adiestró al personal para su uso. </w:t>
            </w:r>
          </w:p>
          <w:p w:rsidR="00F1748D" w:rsidRPr="00190BD7" w:rsidRDefault="00F1748D" w:rsidP="00F1748D">
            <w:pPr>
              <w:pStyle w:val="ListParagraph"/>
              <w:numPr>
                <w:ilvl w:val="0"/>
                <w:numId w:val="10"/>
              </w:numPr>
              <w:rPr>
                <w:rFonts w:cstheme="minorHAnsi"/>
                <w:sz w:val="18"/>
                <w:szCs w:val="18"/>
                <w:lang w:val="es-CL"/>
              </w:rPr>
            </w:pPr>
            <w:r w:rsidRPr="00190BD7">
              <w:rPr>
                <w:rFonts w:cstheme="minorHAnsi"/>
                <w:sz w:val="18"/>
                <w:szCs w:val="18"/>
                <w:lang w:val="es-CL"/>
              </w:rPr>
              <w:t>Se asignaron los recursos económicos (6 millones de dólares) para la actualización del sistema electrónico y cumplimiento con el concepto de uso significativo de la ley federal ACA (“Affordable Care Act”).</w:t>
            </w:r>
          </w:p>
        </w:tc>
      </w:tr>
      <w:tr w:rsidR="00F1748D" w:rsidRPr="00190BD7" w:rsidTr="00A54C5E">
        <w:trPr>
          <w:trHeight w:val="132"/>
        </w:trPr>
        <w:tc>
          <w:tcPr>
            <w:tcW w:w="450" w:type="dxa"/>
          </w:tcPr>
          <w:p w:rsidR="00F1748D" w:rsidRPr="00A54C5E" w:rsidRDefault="00F1748D" w:rsidP="00F1748D">
            <w:pPr>
              <w:rPr>
                <w:rFonts w:cstheme="minorHAnsi"/>
                <w:sz w:val="18"/>
                <w:szCs w:val="18"/>
                <w:lang w:val="es-CL"/>
              </w:rPr>
            </w:pPr>
            <w:r w:rsidRPr="00A54C5E">
              <w:rPr>
                <w:rFonts w:cstheme="minorHAnsi"/>
                <w:sz w:val="18"/>
                <w:szCs w:val="18"/>
                <w:lang w:val="es-CL"/>
              </w:rPr>
              <w:t>VII</w:t>
            </w:r>
          </w:p>
        </w:tc>
        <w:tc>
          <w:tcPr>
            <w:tcW w:w="1260" w:type="dxa"/>
          </w:tcPr>
          <w:p w:rsidR="00F1748D" w:rsidRPr="00A54C5E" w:rsidRDefault="00A54C5E" w:rsidP="00F1748D">
            <w:pPr>
              <w:rPr>
                <w:rFonts w:cstheme="minorHAnsi"/>
                <w:sz w:val="18"/>
                <w:szCs w:val="18"/>
                <w:lang w:val="es-CL"/>
              </w:rPr>
            </w:pPr>
            <w:r>
              <w:rPr>
                <w:rFonts w:cstheme="minorHAnsi"/>
                <w:sz w:val="18"/>
                <w:szCs w:val="18"/>
                <w:lang w:val="es-CL"/>
              </w:rPr>
              <w:t>Acreditación</w:t>
            </w:r>
          </w:p>
        </w:tc>
        <w:tc>
          <w:tcPr>
            <w:tcW w:w="8370" w:type="dxa"/>
          </w:tcPr>
          <w:p w:rsidR="00F1748D" w:rsidRPr="00190BD7" w:rsidRDefault="003A5AF1" w:rsidP="00F1748D">
            <w:pPr>
              <w:pStyle w:val="ListParagraph"/>
              <w:numPr>
                <w:ilvl w:val="0"/>
                <w:numId w:val="11"/>
              </w:numPr>
              <w:rPr>
                <w:rFonts w:cstheme="minorHAnsi"/>
                <w:sz w:val="18"/>
                <w:szCs w:val="18"/>
                <w:lang w:val="es-CL"/>
              </w:rPr>
            </w:pPr>
            <w:r w:rsidRPr="00190BD7">
              <w:rPr>
                <w:rFonts w:cstheme="minorHAnsi"/>
                <w:sz w:val="18"/>
                <w:szCs w:val="18"/>
                <w:lang w:val="es-CL"/>
              </w:rPr>
              <w:t>Acreditación</w:t>
            </w:r>
            <w:r w:rsidR="00F1748D" w:rsidRPr="00190BD7">
              <w:rPr>
                <w:rFonts w:cstheme="minorHAnsi"/>
                <w:sz w:val="18"/>
                <w:szCs w:val="18"/>
                <w:lang w:val="es-CL"/>
              </w:rPr>
              <w:t xml:space="preserve"> por la “Joint Commission”</w:t>
            </w:r>
          </w:p>
        </w:tc>
      </w:tr>
    </w:tbl>
    <w:p w:rsidR="00351F63" w:rsidRDefault="00351F63" w:rsidP="00F770E4">
      <w:pPr>
        <w:pStyle w:val="Heading1"/>
        <w:spacing w:before="0" w:line="240" w:lineRule="auto"/>
        <w:rPr>
          <w:sz w:val="24"/>
          <w:szCs w:val="24"/>
        </w:rPr>
      </w:pPr>
      <w:bookmarkStart w:id="22" w:name="_Toc463269791"/>
    </w:p>
    <w:p w:rsidR="004E56DD" w:rsidRPr="004E56DD" w:rsidRDefault="004E56DD" w:rsidP="00F770E4">
      <w:pPr>
        <w:pStyle w:val="Heading1"/>
        <w:spacing w:before="0" w:line="240" w:lineRule="auto"/>
        <w:rPr>
          <w:sz w:val="24"/>
          <w:szCs w:val="24"/>
        </w:rPr>
      </w:pPr>
      <w:r w:rsidRPr="004E56DD">
        <w:rPr>
          <w:sz w:val="24"/>
          <w:szCs w:val="24"/>
        </w:rPr>
        <w:t>Contenido del Informe de Transición</w:t>
      </w:r>
      <w:bookmarkEnd w:id="22"/>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Descripción detallada y estatus de la situación de personal</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Copia del plan de clasificación y retribución</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Estatus y planes de las unidades administrativas y clínicas</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Situación financiera y estatus de auditorias</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Descripción y estatus de cartera de inversiones</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Inventario de la propiedad</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Descripción y estatus de acciones judiciales</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Subastas en proceso y adjudicadas durante los pasados tres (3) meses</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Compilación de reglamentos, memorandos circulares y normas propias</w:t>
      </w:r>
    </w:p>
    <w:p w:rsidR="00030EAC" w:rsidRPr="00324899" w:rsidRDefault="00030EAC" w:rsidP="00324899">
      <w:pPr>
        <w:pStyle w:val="ListParagraph"/>
        <w:numPr>
          <w:ilvl w:val="0"/>
          <w:numId w:val="13"/>
        </w:numPr>
        <w:spacing w:line="240" w:lineRule="auto"/>
        <w:jc w:val="both"/>
        <w:rPr>
          <w:sz w:val="21"/>
          <w:szCs w:val="21"/>
        </w:rPr>
      </w:pPr>
      <w:r w:rsidRPr="00324899">
        <w:rPr>
          <w:sz w:val="21"/>
          <w:szCs w:val="21"/>
        </w:rPr>
        <w:t xml:space="preserve">Leyes aprobadas </w:t>
      </w:r>
      <w:r w:rsidR="00B645EF" w:rsidRPr="00324899">
        <w:rPr>
          <w:sz w:val="21"/>
          <w:szCs w:val="21"/>
        </w:rPr>
        <w:t>que podrían afectar la operación</w:t>
      </w:r>
    </w:p>
    <w:p w:rsidR="00B645EF" w:rsidRPr="00324899" w:rsidRDefault="00B645EF" w:rsidP="00324899">
      <w:pPr>
        <w:pStyle w:val="ListParagraph"/>
        <w:numPr>
          <w:ilvl w:val="0"/>
          <w:numId w:val="13"/>
        </w:numPr>
        <w:spacing w:line="240" w:lineRule="auto"/>
        <w:jc w:val="both"/>
        <w:rPr>
          <w:sz w:val="21"/>
          <w:szCs w:val="21"/>
        </w:rPr>
      </w:pPr>
      <w:r w:rsidRPr="00324899">
        <w:rPr>
          <w:sz w:val="21"/>
          <w:szCs w:val="21"/>
        </w:rPr>
        <w:t>Planes de Acción Correctiva requeridos por la Oficina del Contralor</w:t>
      </w:r>
    </w:p>
    <w:p w:rsidR="00B645EF" w:rsidRPr="00324899" w:rsidRDefault="00B645EF" w:rsidP="00324899">
      <w:pPr>
        <w:pStyle w:val="ListParagraph"/>
        <w:numPr>
          <w:ilvl w:val="0"/>
          <w:numId w:val="13"/>
        </w:numPr>
        <w:spacing w:line="240" w:lineRule="auto"/>
        <w:jc w:val="both"/>
        <w:rPr>
          <w:sz w:val="21"/>
          <w:szCs w:val="21"/>
        </w:rPr>
      </w:pPr>
      <w:r w:rsidRPr="00324899">
        <w:rPr>
          <w:sz w:val="21"/>
          <w:szCs w:val="21"/>
        </w:rPr>
        <w:t>Contratos vigentes</w:t>
      </w:r>
    </w:p>
    <w:p w:rsidR="00B645EF" w:rsidRDefault="00B645EF" w:rsidP="00324899">
      <w:pPr>
        <w:pStyle w:val="ListParagraph"/>
        <w:numPr>
          <w:ilvl w:val="0"/>
          <w:numId w:val="13"/>
        </w:numPr>
        <w:spacing w:line="240" w:lineRule="auto"/>
        <w:jc w:val="both"/>
      </w:pPr>
      <w:r>
        <w:t>Información adicional</w:t>
      </w:r>
    </w:p>
    <w:p w:rsidR="00B645EF" w:rsidRDefault="00B645EF" w:rsidP="00324899">
      <w:pPr>
        <w:pStyle w:val="ListParagraph"/>
        <w:numPr>
          <w:ilvl w:val="0"/>
          <w:numId w:val="13"/>
        </w:numPr>
        <w:spacing w:line="240" w:lineRule="auto"/>
        <w:jc w:val="both"/>
      </w:pPr>
      <w:r>
        <w:t xml:space="preserve">Juramento del Informe de </w:t>
      </w:r>
      <w:r w:rsidR="00464A5B">
        <w:t>Transición</w:t>
      </w:r>
    </w:p>
    <w:p w:rsidR="00030EAC" w:rsidRDefault="00030EAC" w:rsidP="00D060B0">
      <w:pPr>
        <w:spacing w:line="240" w:lineRule="auto"/>
        <w:jc w:val="both"/>
      </w:pPr>
    </w:p>
    <w:sectPr w:rsidR="00030EAC" w:rsidSect="00024248">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E3" w:rsidRDefault="005B30E3" w:rsidP="00D060B0">
      <w:pPr>
        <w:spacing w:after="0" w:line="240" w:lineRule="auto"/>
      </w:pPr>
      <w:r>
        <w:separator/>
      </w:r>
    </w:p>
  </w:endnote>
  <w:endnote w:type="continuationSeparator" w:id="0">
    <w:p w:rsidR="005B30E3" w:rsidRDefault="005B30E3" w:rsidP="00D0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17464"/>
      <w:docPartObj>
        <w:docPartGallery w:val="Page Numbers (Bottom of Page)"/>
        <w:docPartUnique/>
      </w:docPartObj>
    </w:sdtPr>
    <w:sdtEndPr>
      <w:rPr>
        <w:noProof/>
      </w:rPr>
    </w:sdtEndPr>
    <w:sdtContent>
      <w:p w:rsidR="005B30E3" w:rsidRDefault="005B30E3">
        <w:pPr>
          <w:pStyle w:val="Footer"/>
          <w:jc w:val="center"/>
        </w:pPr>
        <w:r>
          <w:fldChar w:fldCharType="begin"/>
        </w:r>
        <w:r>
          <w:instrText xml:space="preserve"> PAGE   \* MERGEFORMAT </w:instrText>
        </w:r>
        <w:r>
          <w:fldChar w:fldCharType="separate"/>
        </w:r>
        <w:r w:rsidR="008F79C1">
          <w:rPr>
            <w:noProof/>
          </w:rPr>
          <w:t>1</w:t>
        </w:r>
        <w:r>
          <w:rPr>
            <w:noProof/>
          </w:rPr>
          <w:fldChar w:fldCharType="end"/>
        </w:r>
      </w:p>
    </w:sdtContent>
  </w:sdt>
  <w:p w:rsidR="005B30E3" w:rsidRDefault="005B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E3" w:rsidRDefault="005B30E3" w:rsidP="00D060B0">
      <w:pPr>
        <w:spacing w:after="0" w:line="240" w:lineRule="auto"/>
      </w:pPr>
      <w:r>
        <w:separator/>
      </w:r>
    </w:p>
  </w:footnote>
  <w:footnote w:type="continuationSeparator" w:id="0">
    <w:p w:rsidR="005B30E3" w:rsidRDefault="005B30E3" w:rsidP="00D06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E3" w:rsidRDefault="005B30E3">
    <w:pPr>
      <w:pStyle w:val="Header"/>
    </w:pPr>
  </w:p>
  <w:p w:rsidR="005B30E3" w:rsidRDefault="005B30E3">
    <w:pPr>
      <w:pStyle w:val="Header"/>
    </w:pPr>
  </w:p>
  <w:p w:rsidR="005B30E3" w:rsidRDefault="005B3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E3" w:rsidRDefault="005B30E3">
    <w:pPr>
      <w:pStyle w:val="Header"/>
    </w:pPr>
    <w:r>
      <w:rPr>
        <w:noProof/>
        <w:lang w:eastAsia="es-PR"/>
      </w:rPr>
      <w:drawing>
        <wp:anchor distT="0" distB="0" distL="114300" distR="114300" simplePos="0" relativeHeight="251659264" behindDoc="0" locked="0" layoutInCell="1" allowOverlap="1" wp14:anchorId="2448CC67" wp14:editId="17D65886">
          <wp:simplePos x="0" y="0"/>
          <wp:positionH relativeFrom="margin">
            <wp:posOffset>1310005</wp:posOffset>
          </wp:positionH>
          <wp:positionV relativeFrom="paragraph">
            <wp:posOffset>-85090</wp:posOffset>
          </wp:positionV>
          <wp:extent cx="3514725" cy="1047750"/>
          <wp:effectExtent l="0" t="0" r="9525" b="0"/>
          <wp:wrapSquare wrapText="bothSides"/>
          <wp:docPr id="1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a:stretch>
                    <a:fillRect/>
                  </a:stretch>
                </pic:blipFill>
                <pic:spPr bwMode="auto">
                  <a:xfrm>
                    <a:off x="0" y="0"/>
                    <a:ext cx="3514725" cy="1047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B31"/>
    <w:multiLevelType w:val="hybridMultilevel"/>
    <w:tmpl w:val="146CDE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A325F94"/>
    <w:multiLevelType w:val="hybridMultilevel"/>
    <w:tmpl w:val="348AED82"/>
    <w:lvl w:ilvl="0" w:tplc="C4FC77FA">
      <w:start w:val="1"/>
      <w:numFmt w:val="decimal"/>
      <w:lvlText w:val="%1."/>
      <w:lvlJc w:val="left"/>
      <w:pPr>
        <w:ind w:left="720" w:hanging="360"/>
      </w:pPr>
    </w:lvl>
    <w:lvl w:ilvl="1" w:tplc="4664E308">
      <w:start w:val="1"/>
      <w:numFmt w:val="lowerLetter"/>
      <w:lvlText w:val="%2."/>
      <w:lvlJc w:val="left"/>
      <w:pPr>
        <w:ind w:left="1440" w:hanging="360"/>
      </w:pPr>
    </w:lvl>
    <w:lvl w:ilvl="2" w:tplc="5366FEE8">
      <w:start w:val="1"/>
      <w:numFmt w:val="lowerRoman"/>
      <w:lvlText w:val="%3."/>
      <w:lvlJc w:val="right"/>
      <w:pPr>
        <w:ind w:left="2160" w:hanging="180"/>
      </w:pPr>
    </w:lvl>
    <w:lvl w:ilvl="3" w:tplc="B68E1A16">
      <w:start w:val="1"/>
      <w:numFmt w:val="decimal"/>
      <w:lvlText w:val="%4."/>
      <w:lvlJc w:val="left"/>
      <w:pPr>
        <w:ind w:left="2880" w:hanging="360"/>
      </w:pPr>
    </w:lvl>
    <w:lvl w:ilvl="4" w:tplc="4008D162">
      <w:start w:val="1"/>
      <w:numFmt w:val="lowerLetter"/>
      <w:lvlText w:val="%5."/>
      <w:lvlJc w:val="left"/>
      <w:pPr>
        <w:ind w:left="3600" w:hanging="360"/>
      </w:pPr>
    </w:lvl>
    <w:lvl w:ilvl="5" w:tplc="2B50192E">
      <w:start w:val="1"/>
      <w:numFmt w:val="lowerRoman"/>
      <w:lvlText w:val="%6."/>
      <w:lvlJc w:val="right"/>
      <w:pPr>
        <w:ind w:left="4320" w:hanging="180"/>
      </w:pPr>
    </w:lvl>
    <w:lvl w:ilvl="6" w:tplc="61C8C724">
      <w:start w:val="1"/>
      <w:numFmt w:val="decimal"/>
      <w:lvlText w:val="%7."/>
      <w:lvlJc w:val="left"/>
      <w:pPr>
        <w:ind w:left="5040" w:hanging="360"/>
      </w:pPr>
    </w:lvl>
    <w:lvl w:ilvl="7" w:tplc="69D4416C">
      <w:start w:val="1"/>
      <w:numFmt w:val="lowerLetter"/>
      <w:lvlText w:val="%8."/>
      <w:lvlJc w:val="left"/>
      <w:pPr>
        <w:ind w:left="5760" w:hanging="360"/>
      </w:pPr>
    </w:lvl>
    <w:lvl w:ilvl="8" w:tplc="280CA50A">
      <w:start w:val="1"/>
      <w:numFmt w:val="lowerRoman"/>
      <w:lvlText w:val="%9."/>
      <w:lvlJc w:val="right"/>
      <w:pPr>
        <w:ind w:left="6480" w:hanging="180"/>
      </w:pPr>
    </w:lvl>
  </w:abstractNum>
  <w:abstractNum w:abstractNumId="2">
    <w:nsid w:val="0A3E1A72"/>
    <w:multiLevelType w:val="hybridMultilevel"/>
    <w:tmpl w:val="B34CFEBA"/>
    <w:lvl w:ilvl="0" w:tplc="E7E01E44">
      <w:start w:val="1"/>
      <w:numFmt w:val="decimal"/>
      <w:lvlText w:val="%1."/>
      <w:lvlJc w:val="left"/>
      <w:pPr>
        <w:ind w:left="720" w:hanging="360"/>
      </w:pPr>
    </w:lvl>
    <w:lvl w:ilvl="1" w:tplc="69B60D0A">
      <w:start w:val="1"/>
      <w:numFmt w:val="lowerLetter"/>
      <w:lvlText w:val="%2."/>
      <w:lvlJc w:val="left"/>
      <w:pPr>
        <w:ind w:left="1440" w:hanging="360"/>
      </w:pPr>
    </w:lvl>
    <w:lvl w:ilvl="2" w:tplc="9572D858">
      <w:start w:val="1"/>
      <w:numFmt w:val="lowerRoman"/>
      <w:lvlText w:val="%3."/>
      <w:lvlJc w:val="right"/>
      <w:pPr>
        <w:ind w:left="2160" w:hanging="180"/>
      </w:pPr>
    </w:lvl>
    <w:lvl w:ilvl="3" w:tplc="34CA7A4E">
      <w:start w:val="1"/>
      <w:numFmt w:val="decimal"/>
      <w:lvlText w:val="%4."/>
      <w:lvlJc w:val="left"/>
      <w:pPr>
        <w:ind w:left="2880" w:hanging="360"/>
      </w:pPr>
    </w:lvl>
    <w:lvl w:ilvl="4" w:tplc="A8927EE8">
      <w:start w:val="1"/>
      <w:numFmt w:val="lowerLetter"/>
      <w:lvlText w:val="%5."/>
      <w:lvlJc w:val="left"/>
      <w:pPr>
        <w:ind w:left="3600" w:hanging="360"/>
      </w:pPr>
    </w:lvl>
    <w:lvl w:ilvl="5" w:tplc="29B2DA6A">
      <w:start w:val="1"/>
      <w:numFmt w:val="lowerRoman"/>
      <w:lvlText w:val="%6."/>
      <w:lvlJc w:val="right"/>
      <w:pPr>
        <w:ind w:left="4320" w:hanging="180"/>
      </w:pPr>
    </w:lvl>
    <w:lvl w:ilvl="6" w:tplc="C94CDD02">
      <w:start w:val="1"/>
      <w:numFmt w:val="decimal"/>
      <w:lvlText w:val="%7."/>
      <w:lvlJc w:val="left"/>
      <w:pPr>
        <w:ind w:left="5040" w:hanging="360"/>
      </w:pPr>
    </w:lvl>
    <w:lvl w:ilvl="7" w:tplc="1FFC46DA">
      <w:start w:val="1"/>
      <w:numFmt w:val="lowerLetter"/>
      <w:lvlText w:val="%8."/>
      <w:lvlJc w:val="left"/>
      <w:pPr>
        <w:ind w:left="5760" w:hanging="360"/>
      </w:pPr>
    </w:lvl>
    <w:lvl w:ilvl="8" w:tplc="A2B48336">
      <w:start w:val="1"/>
      <w:numFmt w:val="lowerRoman"/>
      <w:lvlText w:val="%9."/>
      <w:lvlJc w:val="right"/>
      <w:pPr>
        <w:ind w:left="6480" w:hanging="180"/>
      </w:pPr>
    </w:lvl>
  </w:abstractNum>
  <w:abstractNum w:abstractNumId="3">
    <w:nsid w:val="19341DC6"/>
    <w:multiLevelType w:val="hybridMultilevel"/>
    <w:tmpl w:val="BC245C72"/>
    <w:lvl w:ilvl="0" w:tplc="500A0001">
      <w:start w:val="1"/>
      <w:numFmt w:val="bullet"/>
      <w:lvlText w:val=""/>
      <w:lvlJc w:val="left"/>
      <w:pPr>
        <w:ind w:left="360" w:hanging="360"/>
      </w:pPr>
      <w:rPr>
        <w:rFonts w:ascii="Symbol" w:hAnsi="Symbol"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
    <w:nsid w:val="1F8722A9"/>
    <w:multiLevelType w:val="hybridMultilevel"/>
    <w:tmpl w:val="BAC0EA90"/>
    <w:lvl w:ilvl="0" w:tplc="0409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40350213"/>
    <w:multiLevelType w:val="hybridMultilevel"/>
    <w:tmpl w:val="4A922ADE"/>
    <w:lvl w:ilvl="0" w:tplc="0BDC6DDA">
      <w:start w:val="1"/>
      <w:numFmt w:val="decimal"/>
      <w:lvlText w:val="%1."/>
      <w:lvlJc w:val="left"/>
      <w:pPr>
        <w:ind w:left="720" w:hanging="360"/>
      </w:pPr>
    </w:lvl>
    <w:lvl w:ilvl="1" w:tplc="9CCE0FC2">
      <w:start w:val="1"/>
      <w:numFmt w:val="lowerLetter"/>
      <w:lvlText w:val="%2."/>
      <w:lvlJc w:val="left"/>
      <w:pPr>
        <w:ind w:left="1440" w:hanging="360"/>
      </w:pPr>
    </w:lvl>
    <w:lvl w:ilvl="2" w:tplc="CE40E68C">
      <w:start w:val="1"/>
      <w:numFmt w:val="lowerRoman"/>
      <w:lvlText w:val="%3."/>
      <w:lvlJc w:val="right"/>
      <w:pPr>
        <w:ind w:left="2160" w:hanging="180"/>
      </w:pPr>
    </w:lvl>
    <w:lvl w:ilvl="3" w:tplc="4CAE3CB2">
      <w:start w:val="1"/>
      <w:numFmt w:val="decimal"/>
      <w:lvlText w:val="%4."/>
      <w:lvlJc w:val="left"/>
      <w:pPr>
        <w:ind w:left="2880" w:hanging="360"/>
      </w:pPr>
    </w:lvl>
    <w:lvl w:ilvl="4" w:tplc="E5D00EB4">
      <w:start w:val="1"/>
      <w:numFmt w:val="lowerLetter"/>
      <w:lvlText w:val="%5."/>
      <w:lvlJc w:val="left"/>
      <w:pPr>
        <w:ind w:left="3600" w:hanging="360"/>
      </w:pPr>
    </w:lvl>
    <w:lvl w:ilvl="5" w:tplc="725494BC">
      <w:start w:val="1"/>
      <w:numFmt w:val="lowerRoman"/>
      <w:lvlText w:val="%6."/>
      <w:lvlJc w:val="right"/>
      <w:pPr>
        <w:ind w:left="4320" w:hanging="180"/>
      </w:pPr>
    </w:lvl>
    <w:lvl w:ilvl="6" w:tplc="6096BFA4">
      <w:start w:val="1"/>
      <w:numFmt w:val="decimal"/>
      <w:lvlText w:val="%7."/>
      <w:lvlJc w:val="left"/>
      <w:pPr>
        <w:ind w:left="5040" w:hanging="360"/>
      </w:pPr>
    </w:lvl>
    <w:lvl w:ilvl="7" w:tplc="6D389A68">
      <w:start w:val="1"/>
      <w:numFmt w:val="lowerLetter"/>
      <w:lvlText w:val="%8."/>
      <w:lvlJc w:val="left"/>
      <w:pPr>
        <w:ind w:left="5760" w:hanging="360"/>
      </w:pPr>
    </w:lvl>
    <w:lvl w:ilvl="8" w:tplc="12385A04">
      <w:start w:val="1"/>
      <w:numFmt w:val="lowerRoman"/>
      <w:lvlText w:val="%9."/>
      <w:lvlJc w:val="right"/>
      <w:pPr>
        <w:ind w:left="6480" w:hanging="180"/>
      </w:pPr>
    </w:lvl>
  </w:abstractNum>
  <w:abstractNum w:abstractNumId="6">
    <w:nsid w:val="48CB4A22"/>
    <w:multiLevelType w:val="hybridMultilevel"/>
    <w:tmpl w:val="8544EC8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4C035536"/>
    <w:multiLevelType w:val="hybridMultilevel"/>
    <w:tmpl w:val="A81E3628"/>
    <w:lvl w:ilvl="0" w:tplc="9290341C">
      <w:start w:val="1"/>
      <w:numFmt w:val="decimal"/>
      <w:lvlText w:val="%1."/>
      <w:lvlJc w:val="left"/>
      <w:pPr>
        <w:ind w:left="720" w:hanging="360"/>
      </w:pPr>
    </w:lvl>
    <w:lvl w:ilvl="1" w:tplc="7BFC0E22">
      <w:start w:val="1"/>
      <w:numFmt w:val="lowerLetter"/>
      <w:lvlText w:val="%2."/>
      <w:lvlJc w:val="left"/>
      <w:pPr>
        <w:ind w:left="1440" w:hanging="360"/>
      </w:pPr>
    </w:lvl>
    <w:lvl w:ilvl="2" w:tplc="A1F0E7B2">
      <w:start w:val="1"/>
      <w:numFmt w:val="lowerRoman"/>
      <w:lvlText w:val="%3."/>
      <w:lvlJc w:val="right"/>
      <w:pPr>
        <w:ind w:left="2160" w:hanging="180"/>
      </w:pPr>
    </w:lvl>
    <w:lvl w:ilvl="3" w:tplc="42A05CEC">
      <w:start w:val="1"/>
      <w:numFmt w:val="decimal"/>
      <w:lvlText w:val="%4."/>
      <w:lvlJc w:val="left"/>
      <w:pPr>
        <w:ind w:left="2880" w:hanging="360"/>
      </w:pPr>
    </w:lvl>
    <w:lvl w:ilvl="4" w:tplc="3278A7A8">
      <w:start w:val="1"/>
      <w:numFmt w:val="lowerLetter"/>
      <w:lvlText w:val="%5."/>
      <w:lvlJc w:val="left"/>
      <w:pPr>
        <w:ind w:left="3600" w:hanging="360"/>
      </w:pPr>
    </w:lvl>
    <w:lvl w:ilvl="5" w:tplc="4F9A264A">
      <w:start w:val="1"/>
      <w:numFmt w:val="lowerRoman"/>
      <w:lvlText w:val="%6."/>
      <w:lvlJc w:val="right"/>
      <w:pPr>
        <w:ind w:left="4320" w:hanging="180"/>
      </w:pPr>
    </w:lvl>
    <w:lvl w:ilvl="6" w:tplc="522A8BF8">
      <w:start w:val="1"/>
      <w:numFmt w:val="decimal"/>
      <w:lvlText w:val="%7."/>
      <w:lvlJc w:val="left"/>
      <w:pPr>
        <w:ind w:left="5040" w:hanging="360"/>
      </w:pPr>
    </w:lvl>
    <w:lvl w:ilvl="7" w:tplc="3202D49C">
      <w:start w:val="1"/>
      <w:numFmt w:val="lowerLetter"/>
      <w:lvlText w:val="%8."/>
      <w:lvlJc w:val="left"/>
      <w:pPr>
        <w:ind w:left="5760" w:hanging="360"/>
      </w:pPr>
    </w:lvl>
    <w:lvl w:ilvl="8" w:tplc="111CC9A4">
      <w:start w:val="1"/>
      <w:numFmt w:val="lowerRoman"/>
      <w:lvlText w:val="%9."/>
      <w:lvlJc w:val="right"/>
      <w:pPr>
        <w:ind w:left="6480" w:hanging="180"/>
      </w:pPr>
    </w:lvl>
  </w:abstractNum>
  <w:abstractNum w:abstractNumId="8">
    <w:nsid w:val="4CB44E28"/>
    <w:multiLevelType w:val="hybridMultilevel"/>
    <w:tmpl w:val="1C72C06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52E561D4"/>
    <w:multiLevelType w:val="hybridMultilevel"/>
    <w:tmpl w:val="1C72C06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5B690ABB"/>
    <w:multiLevelType w:val="hybridMultilevel"/>
    <w:tmpl w:val="FB1E65EE"/>
    <w:lvl w:ilvl="0" w:tplc="492EBAB8">
      <w:start w:val="1"/>
      <w:numFmt w:val="decimal"/>
      <w:lvlText w:val="%1."/>
      <w:lvlJc w:val="left"/>
      <w:pPr>
        <w:ind w:left="720" w:hanging="360"/>
      </w:pPr>
    </w:lvl>
    <w:lvl w:ilvl="1" w:tplc="D22EE958">
      <w:start w:val="1"/>
      <w:numFmt w:val="lowerLetter"/>
      <w:lvlText w:val="%2."/>
      <w:lvlJc w:val="left"/>
      <w:pPr>
        <w:ind w:left="1440" w:hanging="360"/>
      </w:pPr>
    </w:lvl>
    <w:lvl w:ilvl="2" w:tplc="90A0B5D6">
      <w:start w:val="1"/>
      <w:numFmt w:val="lowerRoman"/>
      <w:lvlText w:val="%3."/>
      <w:lvlJc w:val="right"/>
      <w:pPr>
        <w:ind w:left="2160" w:hanging="180"/>
      </w:pPr>
    </w:lvl>
    <w:lvl w:ilvl="3" w:tplc="7D3CD3B8">
      <w:start w:val="1"/>
      <w:numFmt w:val="decimal"/>
      <w:lvlText w:val="%4."/>
      <w:lvlJc w:val="left"/>
      <w:pPr>
        <w:ind w:left="2880" w:hanging="360"/>
      </w:pPr>
    </w:lvl>
    <w:lvl w:ilvl="4" w:tplc="ECB47186">
      <w:start w:val="1"/>
      <w:numFmt w:val="lowerLetter"/>
      <w:lvlText w:val="%5."/>
      <w:lvlJc w:val="left"/>
      <w:pPr>
        <w:ind w:left="3600" w:hanging="360"/>
      </w:pPr>
    </w:lvl>
    <w:lvl w:ilvl="5" w:tplc="A8988190">
      <w:start w:val="1"/>
      <w:numFmt w:val="lowerRoman"/>
      <w:lvlText w:val="%6."/>
      <w:lvlJc w:val="right"/>
      <w:pPr>
        <w:ind w:left="4320" w:hanging="180"/>
      </w:pPr>
    </w:lvl>
    <w:lvl w:ilvl="6" w:tplc="D728A8A4">
      <w:start w:val="1"/>
      <w:numFmt w:val="decimal"/>
      <w:lvlText w:val="%7."/>
      <w:lvlJc w:val="left"/>
      <w:pPr>
        <w:ind w:left="5040" w:hanging="360"/>
      </w:pPr>
    </w:lvl>
    <w:lvl w:ilvl="7" w:tplc="35A6A226">
      <w:start w:val="1"/>
      <w:numFmt w:val="lowerLetter"/>
      <w:lvlText w:val="%8."/>
      <w:lvlJc w:val="left"/>
      <w:pPr>
        <w:ind w:left="5760" w:hanging="360"/>
      </w:pPr>
    </w:lvl>
    <w:lvl w:ilvl="8" w:tplc="15F007DA">
      <w:start w:val="1"/>
      <w:numFmt w:val="lowerRoman"/>
      <w:lvlText w:val="%9."/>
      <w:lvlJc w:val="right"/>
      <w:pPr>
        <w:ind w:left="6480" w:hanging="180"/>
      </w:pPr>
    </w:lvl>
  </w:abstractNum>
  <w:abstractNum w:abstractNumId="11">
    <w:nsid w:val="661F0C13"/>
    <w:multiLevelType w:val="hybridMultilevel"/>
    <w:tmpl w:val="590C80AE"/>
    <w:lvl w:ilvl="0" w:tplc="80825CAE">
      <w:start w:val="1"/>
      <w:numFmt w:val="decimal"/>
      <w:lvlText w:val="%1."/>
      <w:lvlJc w:val="left"/>
      <w:pPr>
        <w:ind w:left="720" w:hanging="360"/>
      </w:pPr>
    </w:lvl>
    <w:lvl w:ilvl="1" w:tplc="E1982912">
      <w:start w:val="1"/>
      <w:numFmt w:val="lowerLetter"/>
      <w:lvlText w:val="%2."/>
      <w:lvlJc w:val="left"/>
      <w:pPr>
        <w:ind w:left="1440" w:hanging="360"/>
      </w:pPr>
    </w:lvl>
    <w:lvl w:ilvl="2" w:tplc="01CEB38C">
      <w:start w:val="1"/>
      <w:numFmt w:val="lowerRoman"/>
      <w:lvlText w:val="%3."/>
      <w:lvlJc w:val="right"/>
      <w:pPr>
        <w:ind w:left="2160" w:hanging="180"/>
      </w:pPr>
    </w:lvl>
    <w:lvl w:ilvl="3" w:tplc="B7C6CC90">
      <w:start w:val="1"/>
      <w:numFmt w:val="decimal"/>
      <w:lvlText w:val="%4."/>
      <w:lvlJc w:val="left"/>
      <w:pPr>
        <w:ind w:left="2880" w:hanging="360"/>
      </w:pPr>
    </w:lvl>
    <w:lvl w:ilvl="4" w:tplc="6254A164">
      <w:start w:val="1"/>
      <w:numFmt w:val="lowerLetter"/>
      <w:lvlText w:val="%5."/>
      <w:lvlJc w:val="left"/>
      <w:pPr>
        <w:ind w:left="3600" w:hanging="360"/>
      </w:pPr>
    </w:lvl>
    <w:lvl w:ilvl="5" w:tplc="07F49B48">
      <w:start w:val="1"/>
      <w:numFmt w:val="lowerRoman"/>
      <w:lvlText w:val="%6."/>
      <w:lvlJc w:val="right"/>
      <w:pPr>
        <w:ind w:left="4320" w:hanging="180"/>
      </w:pPr>
    </w:lvl>
    <w:lvl w:ilvl="6" w:tplc="B554EF40">
      <w:start w:val="1"/>
      <w:numFmt w:val="decimal"/>
      <w:lvlText w:val="%7."/>
      <w:lvlJc w:val="left"/>
      <w:pPr>
        <w:ind w:left="5040" w:hanging="360"/>
      </w:pPr>
    </w:lvl>
    <w:lvl w:ilvl="7" w:tplc="1FE86234">
      <w:start w:val="1"/>
      <w:numFmt w:val="lowerLetter"/>
      <w:lvlText w:val="%8."/>
      <w:lvlJc w:val="left"/>
      <w:pPr>
        <w:ind w:left="5760" w:hanging="360"/>
      </w:pPr>
    </w:lvl>
    <w:lvl w:ilvl="8" w:tplc="C7D6DEA4">
      <w:start w:val="1"/>
      <w:numFmt w:val="lowerRoman"/>
      <w:lvlText w:val="%9."/>
      <w:lvlJc w:val="right"/>
      <w:pPr>
        <w:ind w:left="6480" w:hanging="180"/>
      </w:pPr>
    </w:lvl>
  </w:abstractNum>
  <w:abstractNum w:abstractNumId="12">
    <w:nsid w:val="72307E05"/>
    <w:multiLevelType w:val="hybridMultilevel"/>
    <w:tmpl w:val="028ABDA6"/>
    <w:lvl w:ilvl="0" w:tplc="FFD07164">
      <w:start w:val="1"/>
      <w:numFmt w:val="decimal"/>
      <w:lvlText w:val="%1."/>
      <w:lvlJc w:val="left"/>
      <w:pPr>
        <w:ind w:left="720" w:hanging="360"/>
      </w:pPr>
    </w:lvl>
    <w:lvl w:ilvl="1" w:tplc="700299E4">
      <w:start w:val="1"/>
      <w:numFmt w:val="lowerLetter"/>
      <w:lvlText w:val="%2."/>
      <w:lvlJc w:val="left"/>
      <w:pPr>
        <w:ind w:left="1440" w:hanging="360"/>
      </w:pPr>
    </w:lvl>
    <w:lvl w:ilvl="2" w:tplc="46E66EFA">
      <w:start w:val="1"/>
      <w:numFmt w:val="lowerRoman"/>
      <w:lvlText w:val="%3."/>
      <w:lvlJc w:val="right"/>
      <w:pPr>
        <w:ind w:left="2160" w:hanging="180"/>
      </w:pPr>
    </w:lvl>
    <w:lvl w:ilvl="3" w:tplc="0496287E">
      <w:start w:val="1"/>
      <w:numFmt w:val="decimal"/>
      <w:lvlText w:val="%4."/>
      <w:lvlJc w:val="left"/>
      <w:pPr>
        <w:ind w:left="2880" w:hanging="360"/>
      </w:pPr>
    </w:lvl>
    <w:lvl w:ilvl="4" w:tplc="BB50634A">
      <w:start w:val="1"/>
      <w:numFmt w:val="lowerLetter"/>
      <w:lvlText w:val="%5."/>
      <w:lvlJc w:val="left"/>
      <w:pPr>
        <w:ind w:left="3600" w:hanging="360"/>
      </w:pPr>
    </w:lvl>
    <w:lvl w:ilvl="5" w:tplc="80C0BCF8">
      <w:start w:val="1"/>
      <w:numFmt w:val="lowerRoman"/>
      <w:lvlText w:val="%6."/>
      <w:lvlJc w:val="right"/>
      <w:pPr>
        <w:ind w:left="4320" w:hanging="180"/>
      </w:pPr>
    </w:lvl>
    <w:lvl w:ilvl="6" w:tplc="1DD827F4">
      <w:start w:val="1"/>
      <w:numFmt w:val="decimal"/>
      <w:lvlText w:val="%7."/>
      <w:lvlJc w:val="left"/>
      <w:pPr>
        <w:ind w:left="5040" w:hanging="360"/>
      </w:pPr>
    </w:lvl>
    <w:lvl w:ilvl="7" w:tplc="011E3228">
      <w:start w:val="1"/>
      <w:numFmt w:val="lowerLetter"/>
      <w:lvlText w:val="%8."/>
      <w:lvlJc w:val="left"/>
      <w:pPr>
        <w:ind w:left="5760" w:hanging="360"/>
      </w:pPr>
    </w:lvl>
    <w:lvl w:ilvl="8" w:tplc="989AC42C">
      <w:start w:val="1"/>
      <w:numFmt w:val="lowerRoman"/>
      <w:lvlText w:val="%9."/>
      <w:lvlJc w:val="right"/>
      <w:pPr>
        <w:ind w:left="6480" w:hanging="180"/>
      </w:pPr>
    </w:lvl>
  </w:abstractNum>
  <w:num w:numId="1">
    <w:abstractNumId w:val="4"/>
  </w:num>
  <w:num w:numId="2">
    <w:abstractNumId w:val="5"/>
  </w:num>
  <w:num w:numId="3">
    <w:abstractNumId w:val="10"/>
  </w:num>
  <w:num w:numId="4">
    <w:abstractNumId w:val="11"/>
  </w:num>
  <w:num w:numId="5">
    <w:abstractNumId w:val="12"/>
  </w:num>
  <w:num w:numId="6">
    <w:abstractNumId w:val="2"/>
  </w:num>
  <w:num w:numId="7">
    <w:abstractNumId w:val="1"/>
  </w:num>
  <w:num w:numId="8">
    <w:abstractNumId w:val="7"/>
  </w:num>
  <w:num w:numId="9">
    <w:abstractNumId w:val="9"/>
  </w:num>
  <w:num w:numId="10">
    <w:abstractNumId w:val="8"/>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AC"/>
    <w:rsid w:val="00024248"/>
    <w:rsid w:val="00030EAC"/>
    <w:rsid w:val="000C1E0F"/>
    <w:rsid w:val="000D0892"/>
    <w:rsid w:val="00190BD7"/>
    <w:rsid w:val="001D61A3"/>
    <w:rsid w:val="00303E1D"/>
    <w:rsid w:val="00324899"/>
    <w:rsid w:val="00332AFE"/>
    <w:rsid w:val="00351F63"/>
    <w:rsid w:val="003A5AF1"/>
    <w:rsid w:val="00464A5B"/>
    <w:rsid w:val="00474D38"/>
    <w:rsid w:val="00483825"/>
    <w:rsid w:val="004E56DD"/>
    <w:rsid w:val="00507431"/>
    <w:rsid w:val="005959E0"/>
    <w:rsid w:val="005A3499"/>
    <w:rsid w:val="005A7ABB"/>
    <w:rsid w:val="005B30E3"/>
    <w:rsid w:val="005D7AF1"/>
    <w:rsid w:val="00624A1F"/>
    <w:rsid w:val="00685C5D"/>
    <w:rsid w:val="00715FAF"/>
    <w:rsid w:val="007D23D0"/>
    <w:rsid w:val="008009F2"/>
    <w:rsid w:val="008C32F9"/>
    <w:rsid w:val="008D4310"/>
    <w:rsid w:val="008F79C1"/>
    <w:rsid w:val="009C6477"/>
    <w:rsid w:val="00A54C5E"/>
    <w:rsid w:val="00A57D09"/>
    <w:rsid w:val="00B071FC"/>
    <w:rsid w:val="00B645EF"/>
    <w:rsid w:val="00B666C6"/>
    <w:rsid w:val="00BD2878"/>
    <w:rsid w:val="00C079C4"/>
    <w:rsid w:val="00D060B0"/>
    <w:rsid w:val="00DC14F5"/>
    <w:rsid w:val="00E06FB9"/>
    <w:rsid w:val="00EE70AB"/>
    <w:rsid w:val="00F1748D"/>
    <w:rsid w:val="00F24E06"/>
    <w:rsid w:val="00F44FB2"/>
    <w:rsid w:val="00F770E4"/>
    <w:rsid w:val="00FF46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AC"/>
    <w:pPr>
      <w:ind w:left="720"/>
      <w:contextualSpacing/>
    </w:pPr>
  </w:style>
  <w:style w:type="paragraph" w:styleId="BalloonText">
    <w:name w:val="Balloon Text"/>
    <w:basedOn w:val="Normal"/>
    <w:link w:val="BalloonTextChar"/>
    <w:uiPriority w:val="99"/>
    <w:semiHidden/>
    <w:unhideWhenUsed/>
    <w:rsid w:val="0050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31"/>
    <w:rPr>
      <w:rFonts w:ascii="Tahoma" w:hAnsi="Tahoma" w:cs="Tahoma"/>
      <w:sz w:val="16"/>
      <w:szCs w:val="16"/>
    </w:rPr>
  </w:style>
  <w:style w:type="character" w:customStyle="1" w:styleId="Heading1Char">
    <w:name w:val="Heading 1 Char"/>
    <w:basedOn w:val="DefaultParagraphFont"/>
    <w:link w:val="Heading1"/>
    <w:uiPriority w:val="9"/>
    <w:rsid w:val="00D060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0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0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B0"/>
  </w:style>
  <w:style w:type="paragraph" w:styleId="Footer">
    <w:name w:val="footer"/>
    <w:basedOn w:val="Normal"/>
    <w:link w:val="FooterChar"/>
    <w:uiPriority w:val="99"/>
    <w:unhideWhenUsed/>
    <w:rsid w:val="00D0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B0"/>
  </w:style>
  <w:style w:type="table" w:styleId="TableGrid">
    <w:name w:val="Table Grid"/>
    <w:basedOn w:val="TableNormal"/>
    <w:uiPriority w:val="39"/>
    <w:rsid w:val="00F174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1748D"/>
    <w:pPr>
      <w:spacing w:after="0" w:line="240" w:lineRule="auto"/>
    </w:pPr>
    <w:rPr>
      <w:lang w:val="en-US"/>
    </w:rPr>
  </w:style>
  <w:style w:type="character" w:styleId="FootnoteReference">
    <w:name w:val="footnote reference"/>
    <w:basedOn w:val="DefaultParagraphFont"/>
    <w:uiPriority w:val="99"/>
    <w:unhideWhenUsed/>
    <w:rsid w:val="00F1748D"/>
    <w:rPr>
      <w:vertAlign w:val="superscript"/>
    </w:rPr>
  </w:style>
  <w:style w:type="character" w:customStyle="1" w:styleId="FootnoteTextChar">
    <w:name w:val="Footnote Text Char"/>
    <w:basedOn w:val="DefaultParagraphFont"/>
    <w:link w:val="FootnoteText"/>
    <w:uiPriority w:val="99"/>
    <w:rsid w:val="00F1748D"/>
    <w:rPr>
      <w:sz w:val="20"/>
      <w:szCs w:val="20"/>
    </w:rPr>
  </w:style>
  <w:style w:type="paragraph" w:styleId="FootnoteText">
    <w:name w:val="footnote text"/>
    <w:basedOn w:val="Normal"/>
    <w:link w:val="FootnoteTextChar"/>
    <w:uiPriority w:val="99"/>
    <w:unhideWhenUsed/>
    <w:rsid w:val="00F1748D"/>
    <w:pPr>
      <w:spacing w:after="0" w:line="240" w:lineRule="auto"/>
    </w:pPr>
    <w:rPr>
      <w:sz w:val="20"/>
      <w:szCs w:val="20"/>
    </w:rPr>
  </w:style>
  <w:style w:type="character" w:customStyle="1" w:styleId="FootnoteTextChar1">
    <w:name w:val="Footnote Text Char1"/>
    <w:basedOn w:val="DefaultParagraphFont"/>
    <w:uiPriority w:val="99"/>
    <w:semiHidden/>
    <w:rsid w:val="00F1748D"/>
    <w:rPr>
      <w:sz w:val="20"/>
      <w:szCs w:val="20"/>
    </w:rPr>
  </w:style>
  <w:style w:type="character" w:customStyle="1" w:styleId="NoSpacingChar">
    <w:name w:val="No Spacing Char"/>
    <w:basedOn w:val="DefaultParagraphFont"/>
    <w:link w:val="NoSpacing"/>
    <w:uiPriority w:val="1"/>
    <w:rsid w:val="005959E0"/>
    <w:rPr>
      <w:lang w:val="en-US"/>
    </w:rPr>
  </w:style>
  <w:style w:type="paragraph" w:styleId="TOCHeading">
    <w:name w:val="TOC Heading"/>
    <w:basedOn w:val="Heading1"/>
    <w:next w:val="Normal"/>
    <w:uiPriority w:val="39"/>
    <w:unhideWhenUsed/>
    <w:qFormat/>
    <w:rsid w:val="007D23D0"/>
    <w:pPr>
      <w:outlineLvl w:val="9"/>
    </w:pPr>
    <w:rPr>
      <w:lang w:val="en-US" w:eastAsia="ja-JP"/>
    </w:rPr>
  </w:style>
  <w:style w:type="paragraph" w:styleId="TOC1">
    <w:name w:val="toc 1"/>
    <w:basedOn w:val="Normal"/>
    <w:next w:val="Normal"/>
    <w:autoRedefine/>
    <w:uiPriority w:val="39"/>
    <w:unhideWhenUsed/>
    <w:rsid w:val="007D23D0"/>
    <w:pPr>
      <w:spacing w:after="100"/>
    </w:pPr>
  </w:style>
  <w:style w:type="paragraph" w:styleId="TOC2">
    <w:name w:val="toc 2"/>
    <w:basedOn w:val="Normal"/>
    <w:next w:val="Normal"/>
    <w:autoRedefine/>
    <w:uiPriority w:val="39"/>
    <w:unhideWhenUsed/>
    <w:rsid w:val="007D23D0"/>
    <w:pPr>
      <w:spacing w:after="100"/>
      <w:ind w:left="220"/>
    </w:pPr>
  </w:style>
  <w:style w:type="character" w:styleId="Hyperlink">
    <w:name w:val="Hyperlink"/>
    <w:basedOn w:val="DefaultParagraphFont"/>
    <w:uiPriority w:val="99"/>
    <w:unhideWhenUsed/>
    <w:rsid w:val="007D2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AC"/>
    <w:pPr>
      <w:ind w:left="720"/>
      <w:contextualSpacing/>
    </w:pPr>
  </w:style>
  <w:style w:type="paragraph" w:styleId="BalloonText">
    <w:name w:val="Balloon Text"/>
    <w:basedOn w:val="Normal"/>
    <w:link w:val="BalloonTextChar"/>
    <w:uiPriority w:val="99"/>
    <w:semiHidden/>
    <w:unhideWhenUsed/>
    <w:rsid w:val="0050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31"/>
    <w:rPr>
      <w:rFonts w:ascii="Tahoma" w:hAnsi="Tahoma" w:cs="Tahoma"/>
      <w:sz w:val="16"/>
      <w:szCs w:val="16"/>
    </w:rPr>
  </w:style>
  <w:style w:type="character" w:customStyle="1" w:styleId="Heading1Char">
    <w:name w:val="Heading 1 Char"/>
    <w:basedOn w:val="DefaultParagraphFont"/>
    <w:link w:val="Heading1"/>
    <w:uiPriority w:val="9"/>
    <w:rsid w:val="00D060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0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0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B0"/>
  </w:style>
  <w:style w:type="paragraph" w:styleId="Footer">
    <w:name w:val="footer"/>
    <w:basedOn w:val="Normal"/>
    <w:link w:val="FooterChar"/>
    <w:uiPriority w:val="99"/>
    <w:unhideWhenUsed/>
    <w:rsid w:val="00D0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B0"/>
  </w:style>
  <w:style w:type="table" w:styleId="TableGrid">
    <w:name w:val="Table Grid"/>
    <w:basedOn w:val="TableNormal"/>
    <w:uiPriority w:val="39"/>
    <w:rsid w:val="00F174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1748D"/>
    <w:pPr>
      <w:spacing w:after="0" w:line="240" w:lineRule="auto"/>
    </w:pPr>
    <w:rPr>
      <w:lang w:val="en-US"/>
    </w:rPr>
  </w:style>
  <w:style w:type="character" w:styleId="FootnoteReference">
    <w:name w:val="footnote reference"/>
    <w:basedOn w:val="DefaultParagraphFont"/>
    <w:uiPriority w:val="99"/>
    <w:unhideWhenUsed/>
    <w:rsid w:val="00F1748D"/>
    <w:rPr>
      <w:vertAlign w:val="superscript"/>
    </w:rPr>
  </w:style>
  <w:style w:type="character" w:customStyle="1" w:styleId="FootnoteTextChar">
    <w:name w:val="Footnote Text Char"/>
    <w:basedOn w:val="DefaultParagraphFont"/>
    <w:link w:val="FootnoteText"/>
    <w:uiPriority w:val="99"/>
    <w:rsid w:val="00F1748D"/>
    <w:rPr>
      <w:sz w:val="20"/>
      <w:szCs w:val="20"/>
    </w:rPr>
  </w:style>
  <w:style w:type="paragraph" w:styleId="FootnoteText">
    <w:name w:val="footnote text"/>
    <w:basedOn w:val="Normal"/>
    <w:link w:val="FootnoteTextChar"/>
    <w:uiPriority w:val="99"/>
    <w:unhideWhenUsed/>
    <w:rsid w:val="00F1748D"/>
    <w:pPr>
      <w:spacing w:after="0" w:line="240" w:lineRule="auto"/>
    </w:pPr>
    <w:rPr>
      <w:sz w:val="20"/>
      <w:szCs w:val="20"/>
    </w:rPr>
  </w:style>
  <w:style w:type="character" w:customStyle="1" w:styleId="FootnoteTextChar1">
    <w:name w:val="Footnote Text Char1"/>
    <w:basedOn w:val="DefaultParagraphFont"/>
    <w:uiPriority w:val="99"/>
    <w:semiHidden/>
    <w:rsid w:val="00F1748D"/>
    <w:rPr>
      <w:sz w:val="20"/>
      <w:szCs w:val="20"/>
    </w:rPr>
  </w:style>
  <w:style w:type="character" w:customStyle="1" w:styleId="NoSpacingChar">
    <w:name w:val="No Spacing Char"/>
    <w:basedOn w:val="DefaultParagraphFont"/>
    <w:link w:val="NoSpacing"/>
    <w:uiPriority w:val="1"/>
    <w:rsid w:val="005959E0"/>
    <w:rPr>
      <w:lang w:val="en-US"/>
    </w:rPr>
  </w:style>
  <w:style w:type="paragraph" w:styleId="TOCHeading">
    <w:name w:val="TOC Heading"/>
    <w:basedOn w:val="Heading1"/>
    <w:next w:val="Normal"/>
    <w:uiPriority w:val="39"/>
    <w:unhideWhenUsed/>
    <w:qFormat/>
    <w:rsid w:val="007D23D0"/>
    <w:pPr>
      <w:outlineLvl w:val="9"/>
    </w:pPr>
    <w:rPr>
      <w:lang w:val="en-US" w:eastAsia="ja-JP"/>
    </w:rPr>
  </w:style>
  <w:style w:type="paragraph" w:styleId="TOC1">
    <w:name w:val="toc 1"/>
    <w:basedOn w:val="Normal"/>
    <w:next w:val="Normal"/>
    <w:autoRedefine/>
    <w:uiPriority w:val="39"/>
    <w:unhideWhenUsed/>
    <w:rsid w:val="007D23D0"/>
    <w:pPr>
      <w:spacing w:after="100"/>
    </w:pPr>
  </w:style>
  <w:style w:type="paragraph" w:styleId="TOC2">
    <w:name w:val="toc 2"/>
    <w:basedOn w:val="Normal"/>
    <w:next w:val="Normal"/>
    <w:autoRedefine/>
    <w:uiPriority w:val="39"/>
    <w:unhideWhenUsed/>
    <w:rsid w:val="007D23D0"/>
    <w:pPr>
      <w:spacing w:after="100"/>
      <w:ind w:left="220"/>
    </w:pPr>
  </w:style>
  <w:style w:type="character" w:styleId="Hyperlink">
    <w:name w:val="Hyperlink"/>
    <w:basedOn w:val="DefaultParagraphFont"/>
    <w:uiPriority w:val="99"/>
    <w:unhideWhenUsed/>
    <w:rsid w:val="007D2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a:t>Resultados</a:t>
            </a:r>
            <a:r>
              <a:rPr lang="en-US" sz="1200" b="0" baseline="0"/>
              <a:t> Financieros Operacionales</a:t>
            </a:r>
          </a:p>
          <a:p>
            <a:pPr>
              <a:defRPr/>
            </a:pPr>
            <a:r>
              <a:rPr lang="en-US" sz="1200" b="0" baseline="0"/>
              <a:t>1994 al 2016</a:t>
            </a:r>
            <a:endParaRPr lang="en-US" sz="1200" b="0"/>
          </a:p>
        </c:rich>
      </c:tx>
      <c:layout>
        <c:manualLayout>
          <c:xMode val="edge"/>
          <c:yMode val="edge"/>
          <c:x val="0.23356763844118469"/>
          <c:y val="3.4876589945487584E-2"/>
        </c:manualLayout>
      </c:layout>
      <c:overlay val="0"/>
    </c:title>
    <c:autoTitleDeleted val="0"/>
    <c:plotArea>
      <c:layout>
        <c:manualLayout>
          <c:layoutTarget val="inner"/>
          <c:xMode val="edge"/>
          <c:yMode val="edge"/>
          <c:x val="9.9774013759882763E-2"/>
          <c:y val="0.19860690490611752"/>
          <c:w val="0.86892101447310988"/>
          <c:h val="0.7510821093372958"/>
        </c:manualLayout>
      </c:layout>
      <c:barChart>
        <c:barDir val="col"/>
        <c:grouping val="clustered"/>
        <c:varyColors val="0"/>
        <c:ser>
          <c:idx val="0"/>
          <c:order val="0"/>
          <c:invertIfNegative val="0"/>
          <c:dPt>
            <c:idx val="0"/>
            <c:invertIfNegative val="0"/>
            <c:bubble3D val="0"/>
            <c:spPr>
              <a:solidFill>
                <a:schemeClr val="tx1"/>
              </a:solidFill>
            </c:spPr>
          </c:dPt>
          <c:dPt>
            <c:idx val="1"/>
            <c:invertIfNegative val="0"/>
            <c:bubble3D val="0"/>
            <c:spPr>
              <a:solidFill>
                <a:schemeClr val="tx1"/>
              </a:solidFill>
            </c:spPr>
          </c:dPt>
          <c:dPt>
            <c:idx val="2"/>
            <c:invertIfNegative val="0"/>
            <c:bubble3D val="0"/>
            <c:spPr>
              <a:solidFill>
                <a:schemeClr val="tx1"/>
              </a:solidFill>
            </c:spPr>
          </c:dPt>
          <c:dPt>
            <c:idx val="3"/>
            <c:invertIfNegative val="0"/>
            <c:bubble3D val="0"/>
            <c:spPr>
              <a:solidFill>
                <a:schemeClr val="tx1"/>
              </a:solidFill>
            </c:spPr>
          </c:dPt>
          <c:dPt>
            <c:idx val="4"/>
            <c:invertIfNegative val="0"/>
            <c:bubble3D val="0"/>
            <c:spPr>
              <a:solidFill>
                <a:schemeClr val="tx1"/>
              </a:solidFill>
            </c:spPr>
          </c:dPt>
          <c:dLbls>
            <c:txPr>
              <a:bodyPr/>
              <a:lstStyle/>
              <a:p>
                <a:pPr>
                  <a:defRPr sz="700"/>
                </a:pPr>
                <a:endParaRPr lang="es-PR"/>
              </a:p>
            </c:txPr>
            <c:showLegendKey val="0"/>
            <c:showVal val="1"/>
            <c:showCatName val="0"/>
            <c:showSerName val="0"/>
            <c:showPercent val="0"/>
            <c:showBubbleSize val="0"/>
            <c:showLeaderLines val="0"/>
          </c:dLbls>
          <c:val>
            <c:numRef>
              <c:f>Sheet1!$C$4:$C$26</c:f>
              <c:numCache>
                <c:formatCode>General</c:formatCode>
                <c:ptCount val="23"/>
                <c:pt idx="0">
                  <c:v>4.2</c:v>
                </c:pt>
                <c:pt idx="1">
                  <c:v>3.6</c:v>
                </c:pt>
                <c:pt idx="2">
                  <c:v>3.9</c:v>
                </c:pt>
                <c:pt idx="3">
                  <c:v>0.7</c:v>
                </c:pt>
                <c:pt idx="4">
                  <c:v>-20.8</c:v>
                </c:pt>
                <c:pt idx="5">
                  <c:v>-10.199999999999999</c:v>
                </c:pt>
                <c:pt idx="6">
                  <c:v>-6.6</c:v>
                </c:pt>
                <c:pt idx="7">
                  <c:v>-25.4</c:v>
                </c:pt>
                <c:pt idx="8">
                  <c:v>-33.1</c:v>
                </c:pt>
                <c:pt idx="9">
                  <c:v>-33.200000000000003</c:v>
                </c:pt>
                <c:pt idx="10">
                  <c:v>-25.1</c:v>
                </c:pt>
                <c:pt idx="11">
                  <c:v>-37.6</c:v>
                </c:pt>
                <c:pt idx="12">
                  <c:v>-45.7</c:v>
                </c:pt>
                <c:pt idx="13">
                  <c:v>-44.6</c:v>
                </c:pt>
                <c:pt idx="14">
                  <c:v>-42.8</c:v>
                </c:pt>
                <c:pt idx="15">
                  <c:v>-62.6</c:v>
                </c:pt>
                <c:pt idx="16">
                  <c:v>-94.7</c:v>
                </c:pt>
                <c:pt idx="17">
                  <c:v>-51.2</c:v>
                </c:pt>
                <c:pt idx="18">
                  <c:v>-68.400000000000006</c:v>
                </c:pt>
                <c:pt idx="19">
                  <c:v>-76.599999999999994</c:v>
                </c:pt>
                <c:pt idx="20">
                  <c:v>-65.099999999999994</c:v>
                </c:pt>
                <c:pt idx="21">
                  <c:v>-43.1</c:v>
                </c:pt>
                <c:pt idx="22">
                  <c:v>-42.2</c:v>
                </c:pt>
              </c:numCache>
            </c:numRef>
          </c:val>
        </c:ser>
        <c:dLbls>
          <c:showLegendKey val="0"/>
          <c:showVal val="0"/>
          <c:showCatName val="0"/>
          <c:showSerName val="0"/>
          <c:showPercent val="0"/>
          <c:showBubbleSize val="0"/>
        </c:dLbls>
        <c:gapWidth val="150"/>
        <c:axId val="280054784"/>
        <c:axId val="280052480"/>
      </c:barChart>
      <c:valAx>
        <c:axId val="280052480"/>
        <c:scaling>
          <c:orientation val="minMax"/>
        </c:scaling>
        <c:delete val="0"/>
        <c:axPos val="l"/>
        <c:majorGridlines/>
        <c:title>
          <c:tx>
            <c:rich>
              <a:bodyPr/>
              <a:lstStyle/>
              <a:p>
                <a:pPr>
                  <a:defRPr b="0"/>
                </a:pPr>
                <a:r>
                  <a:rPr lang="en-US" b="0"/>
                  <a:t>Millones</a:t>
                </a:r>
              </a:p>
            </c:rich>
          </c:tx>
          <c:layout>
            <c:manualLayout>
              <c:xMode val="edge"/>
              <c:yMode val="edge"/>
              <c:x val="0"/>
              <c:y val="0.61882991642260154"/>
            </c:manualLayout>
          </c:layout>
          <c:overlay val="0"/>
        </c:title>
        <c:numFmt formatCode="General" sourceLinked="1"/>
        <c:majorTickMark val="none"/>
        <c:minorTickMark val="none"/>
        <c:tickLblPos val="nextTo"/>
        <c:crossAx val="280054784"/>
        <c:crosses val="autoZero"/>
        <c:crossBetween val="between"/>
      </c:valAx>
      <c:catAx>
        <c:axId val="280054784"/>
        <c:scaling>
          <c:orientation val="minMax"/>
        </c:scaling>
        <c:delete val="0"/>
        <c:axPos val="b"/>
        <c:title>
          <c:tx>
            <c:rich>
              <a:bodyPr/>
              <a:lstStyle/>
              <a:p>
                <a:pPr>
                  <a:defRPr/>
                </a:pPr>
                <a:r>
                  <a:rPr lang="en-US" b="0">
                    <a:latin typeface="+mn-lt"/>
                    <a:cs typeface="+mn-cs"/>
                  </a:rPr>
                  <a:t>A</a:t>
                </a:r>
                <a:r>
                  <a:rPr lang="en-US" b="0">
                    <a:latin typeface="Calibri"/>
                    <a:cs typeface="Calibri"/>
                  </a:rPr>
                  <a:t>ños</a:t>
                </a:r>
                <a:endParaRPr lang="en-US" b="0"/>
              </a:p>
            </c:rich>
          </c:tx>
          <c:layout>
            <c:manualLayout>
              <c:xMode val="edge"/>
              <c:yMode val="edge"/>
              <c:x val="0.46442611462757094"/>
              <c:y val="0.96214015286806198"/>
            </c:manualLayout>
          </c:layout>
          <c:overlay val="0"/>
        </c:title>
        <c:majorTickMark val="none"/>
        <c:minorTickMark val="none"/>
        <c:tickLblPos val="nextTo"/>
        <c:crossAx val="280052480"/>
        <c:crossesAt val="0"/>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2016-10-03T00:00:00</PublishDate>
  <Abstract>Síntesis de los componentes del informe y un contexto breve de la evolución histórica de la organización y estatus actual con énfasis a los aspectos financieros  </Abstract>
  <CompanyAddress>Centro Medico de Puerto Rico</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3968123C8AA444288B32D1FB9BF52A0" ma:contentTypeVersion="1" ma:contentTypeDescription="Create a new document." ma:contentTypeScope="" ma:versionID="a9b43d809565cd6b886ba8cb077e3f7d">
  <xsd:schema xmlns:xsd="http://www.w3.org/2001/XMLSchema" xmlns:xs="http://www.w3.org/2001/XMLSchema" xmlns:p="http://schemas.microsoft.com/office/2006/metadata/properties" targetNamespace="http://schemas.microsoft.com/office/2006/metadata/properties" ma:root="true" ma:fieldsID="7b94947a533d41d0b470e22114172d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DA46E-525D-480B-8743-D30413FDE486}"/>
</file>

<file path=customXml/itemProps2.xml><?xml version="1.0" encoding="utf-8"?>
<ds:datastoreItem xmlns:ds="http://schemas.openxmlformats.org/officeDocument/2006/customXml" ds:itemID="{10553F98-8E5C-4E73-B3B0-DB39167FC9CB}"/>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1C1DBEC-297A-47E3-B005-6B25390D67B4}"/>
</file>

<file path=customXml/itemProps5.xml><?xml version="1.0" encoding="utf-8"?>
<ds:datastoreItem xmlns:ds="http://schemas.openxmlformats.org/officeDocument/2006/customXml" ds:itemID="{0B531056-A8B2-4416-AB66-48F53A9C7B61}"/>
</file>

<file path=docProps/app.xml><?xml version="1.0" encoding="utf-8"?>
<Properties xmlns="http://schemas.openxmlformats.org/officeDocument/2006/extended-properties" xmlns:vt="http://schemas.openxmlformats.org/officeDocument/2006/docPropsVTypes">
  <Template>Normal</Template>
  <TotalTime>470</TotalTime>
  <Pages>6</Pages>
  <Words>2968</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Ponencia para el Proceso de Transición</vt:lpstr>
    </vt:vector>
  </TitlesOfParts>
  <Company>ASEM</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Ponencia para el Proceso de Transición 2016-2017</dc:title>
  <dc:creator>Administración de Servicios Médicos</dc:creator>
  <cp:lastModifiedBy>Irving Jimenez Narvaez</cp:lastModifiedBy>
  <cp:revision>29</cp:revision>
  <cp:lastPrinted>2016-10-03T21:37:00Z</cp:lastPrinted>
  <dcterms:created xsi:type="dcterms:W3CDTF">2016-10-03T11:47:00Z</dcterms:created>
  <dcterms:modified xsi:type="dcterms:W3CDTF">2016-10-03T21:42:00Z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0x01010013968123C8AA444288B32D1FB9BF52A0</vt:lpwstr>
  </property>
</Properties>
</file>